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rPr>
          <w:rFonts w:ascii="Montserrat" w:cs="Montserrat" w:eastAsia="Montserrat" w:hAnsi="Montserrat"/>
          <w:b w:val="0"/>
          <w:bCs w:val="0"/>
          <w:color w:val="222222"/>
          <w:sz w:val="45"/>
          <w:szCs w:val="45"/>
        </w:rPr>
      </w:pPr>
      <w:bookmarkStart w:colFirst="0" w:colLast="0" w:name="_f388db4g5tvq" w:id="0"/>
      <w:bookmarkEnd w:id="0"/>
      <w:r w:rsidDel="00000000" w:rsidR="00000000" w:rsidRPr="00000000">
        <w:rPr>
          <w:rFonts w:ascii="Montserrat" w:cs="Montserrat" w:eastAsia="Montserrat" w:hAnsi="Montserrat"/>
          <w:b w:val="0"/>
          <w:bCs w:val="0"/>
          <w:color w:val="222222"/>
          <w:sz w:val="45"/>
          <w:szCs w:val="45"/>
          <w:rtl w:val="0"/>
        </w:rPr>
        <w:t xml:space="preserve">La superficie visada en Extremadura crece un 13,9 %, aunque por debajo de la media nacional</w:t>
      </w:r>
    </w:p>
    <w:p w:rsidR="00000000" w:rsidDel="00000000" w:rsidP="00000000" w:rsidRDefault="00000000" w:rsidRPr="00000000" w14:paraId="00000002">
      <w:pPr>
        <w:pStyle w:val="Heading3"/>
        <w:spacing w:after="80" w:before="280" w:line="276" w:lineRule="auto"/>
        <w:ind w:right="0" w:firstLine="720"/>
        <w:rPr>
          <w:rFonts w:ascii="Montserrat" w:cs="Montserrat" w:eastAsia="Montserrat" w:hAnsi="Montserrat"/>
          <w:b w:val="0"/>
          <w:bCs w:val="0"/>
          <w:sz w:val="24"/>
          <w:szCs w:val="24"/>
        </w:rPr>
      </w:pPr>
      <w:bookmarkStart w:colFirst="0" w:colLast="0" w:name="_ilt411dpvhhc" w:id="1"/>
      <w:bookmarkEnd w:id="1"/>
      <w:r w:rsidDel="00000000" w:rsidR="00000000" w:rsidRPr="00000000">
        <w:rPr>
          <w:rFonts w:ascii="Montserrat" w:cs="Montserrat" w:eastAsia="Montserrat" w:hAnsi="Montserrat"/>
          <w:b w:val="0"/>
          <w:bCs w:val="0"/>
          <w:sz w:val="24"/>
          <w:szCs w:val="24"/>
          <w:rtl w:val="0"/>
        </w:rPr>
        <w:t xml:space="preserve">La región alcanza los 470.329 m² visados para obra nueva y rehabilitación, frente al crecimiento nacional del 18 %.</w:t>
      </w:r>
    </w:p>
    <w:p w:rsidR="00000000" w:rsidDel="00000000" w:rsidP="00000000" w:rsidRDefault="00000000" w:rsidRPr="00000000" w14:paraId="00000003">
      <w:pPr>
        <w:pStyle w:val="Heading3"/>
        <w:spacing w:after="80" w:before="280" w:line="276" w:lineRule="auto"/>
        <w:ind w:right="0" w:firstLine="720"/>
        <w:rPr>
          <w:rFonts w:ascii="Montserrat" w:cs="Montserrat" w:eastAsia="Montserrat" w:hAnsi="Montserrat"/>
          <w:b w:val="0"/>
          <w:bCs w:val="0"/>
          <w:sz w:val="24"/>
          <w:szCs w:val="24"/>
        </w:rPr>
      </w:pPr>
      <w:bookmarkStart w:colFirst="0" w:colLast="0" w:name="_ilt411dpvhhc" w:id="1"/>
      <w:bookmarkEnd w:id="1"/>
      <w:r w:rsidDel="00000000" w:rsidR="00000000" w:rsidRPr="00000000">
        <w:rPr>
          <w:rFonts w:ascii="Montserrat" w:cs="Montserrat" w:eastAsia="Montserrat" w:hAnsi="Montserrat"/>
          <w:b w:val="0"/>
          <w:bCs w:val="0"/>
          <w:sz w:val="24"/>
          <w:szCs w:val="24"/>
          <w:rtl w:val="0"/>
        </w:rPr>
        <w:t xml:space="preserve">La rehabilitación residencial aumenta un 15,67 %, mientras que la obra nueva residencial desciende un 3,23 %.</w:t>
      </w:r>
    </w:p>
    <w:p w:rsidR="00000000" w:rsidDel="00000000" w:rsidP="00000000" w:rsidRDefault="00000000" w:rsidRPr="00000000" w14:paraId="00000004">
      <w:pPr>
        <w:pStyle w:val="Heading3"/>
        <w:spacing w:after="80" w:before="280" w:line="276" w:lineRule="auto"/>
        <w:ind w:right="0" w:firstLine="720"/>
        <w:rPr>
          <w:rFonts w:ascii="Montserrat" w:cs="Montserrat" w:eastAsia="Montserrat" w:hAnsi="Montserrat"/>
          <w:b w:val="0"/>
          <w:bCs w:val="0"/>
          <w:sz w:val="24"/>
          <w:szCs w:val="24"/>
        </w:rPr>
      </w:pPr>
      <w:bookmarkStart w:colFirst="0" w:colLast="0" w:name="_5z6q20is0t7u" w:id="2"/>
      <w:bookmarkEnd w:id="2"/>
      <w:r w:rsidDel="00000000" w:rsidR="00000000" w:rsidRPr="00000000">
        <w:rPr>
          <w:rFonts w:ascii="Montserrat" w:cs="Montserrat" w:eastAsia="Montserrat" w:hAnsi="Montserrat"/>
          <w:b w:val="0"/>
          <w:bCs w:val="0"/>
          <w:sz w:val="24"/>
          <w:szCs w:val="24"/>
          <w:rtl w:val="0"/>
        </w:rPr>
        <w:t xml:space="preserve">El decano del COADE advierte de que la escasez de mano de obra cualificada dificulta la ejecución de las actuaciones proyectadas.</w:t>
      </w:r>
    </w:p>
    <w:p w:rsidR="00000000" w:rsidDel="00000000" w:rsidP="00000000" w:rsidRDefault="00000000" w:rsidRPr="00000000" w14:paraId="00000005">
      <w:pPr>
        <w:pStyle w:val="Heading3"/>
        <w:spacing w:after="80" w:before="280" w:line="276" w:lineRule="auto"/>
        <w:ind w:right="0" w:firstLine="720"/>
        <w:rPr>
          <w:rFonts w:ascii="Montserrat" w:cs="Montserrat" w:eastAsia="Montserrat" w:hAnsi="Montserrat"/>
          <w:b w:val="0"/>
          <w:bCs w:val="0"/>
          <w:sz w:val="26"/>
          <w:szCs w:val="26"/>
        </w:rPr>
      </w:pPr>
      <w:bookmarkStart w:colFirst="0" w:colLast="0" w:name="_ilt411dpvhhc" w:id="1"/>
      <w:bookmarkEnd w:id="1"/>
      <w:r w:rsidDel="00000000" w:rsidR="00000000" w:rsidRPr="00000000">
        <w:rPr>
          <w:rtl w:val="0"/>
        </w:rPr>
      </w:r>
    </w:p>
    <w:p w:rsidR="00000000" w:rsidDel="00000000" w:rsidP="00000000" w:rsidRDefault="00000000" w:rsidRPr="00000000" w14:paraId="00000006">
      <w:pPr>
        <w:pStyle w:val="Heading3"/>
        <w:spacing w:after="80" w:before="280" w:line="276" w:lineRule="auto"/>
        <w:ind w:left="0" w:right="0" w:firstLine="0"/>
        <w:rPr>
          <w:rFonts w:ascii="Montserrat" w:cs="Montserrat" w:eastAsia="Montserrat" w:hAnsi="Montserrat"/>
          <w:b w:val="0"/>
          <w:bCs w:val="0"/>
          <w:sz w:val="22"/>
          <w:szCs w:val="22"/>
        </w:rPr>
      </w:pPr>
      <w:bookmarkStart w:colFirst="0" w:colLast="0" w:name="_kn03iznsm451" w:id="3"/>
      <w:bookmarkEnd w:id="3"/>
      <w:r w:rsidDel="00000000" w:rsidR="00000000" w:rsidRPr="00000000">
        <w:rPr>
          <w:rFonts w:ascii="Montserrat" w:cs="Montserrat" w:eastAsia="Montserrat" w:hAnsi="Montserrat"/>
          <w:b w:val="0"/>
          <w:bCs w:val="0"/>
          <w:sz w:val="22"/>
          <w:szCs w:val="22"/>
        </w:rPr>
        <w:drawing>
          <wp:inline distB="114300" distT="114300" distL="114300" distR="114300">
            <wp:extent cx="5731200" cy="29972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29972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Style w:val="Heading3"/>
        <w:spacing w:after="80" w:before="280" w:line="276" w:lineRule="auto"/>
        <w:ind w:left="0" w:right="0" w:firstLine="0"/>
        <w:rPr>
          <w:rFonts w:ascii="Montserrat" w:cs="Montserrat" w:eastAsia="Montserrat" w:hAnsi="Montserrat"/>
          <w:b w:val="0"/>
          <w:bCs w:val="0"/>
          <w:sz w:val="20"/>
          <w:szCs w:val="20"/>
        </w:rPr>
      </w:pPr>
      <w:bookmarkStart w:colFirst="0" w:colLast="0" w:name="_hgwzokqk55ec" w:id="4"/>
      <w:bookmarkEnd w:id="4"/>
      <w:r w:rsidDel="00000000" w:rsidR="00000000" w:rsidRPr="00000000">
        <w:rPr>
          <w:rFonts w:ascii="Montserrat" w:cs="Montserrat" w:eastAsia="Montserrat" w:hAnsi="Montserrat"/>
          <w:b w:val="0"/>
          <w:bCs w:val="0"/>
          <w:sz w:val="20"/>
          <w:szCs w:val="20"/>
          <w:rtl w:val="0"/>
        </w:rPr>
        <w:t xml:space="preserve">Badajoz, 15 de septiembre de 2026. </w:t>
      </w:r>
    </w:p>
    <w:p w:rsidR="00000000" w:rsidDel="00000000" w:rsidP="00000000" w:rsidRDefault="00000000" w:rsidRPr="00000000" w14:paraId="00000008">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La superficie visada para obra nueva y gran rehabilitación en Extremadura alcanzó los </w:t>
      </w:r>
      <w:r w:rsidDel="00000000" w:rsidR="00000000" w:rsidRPr="00000000">
        <w:rPr>
          <w:rFonts w:ascii="Montserrat" w:cs="Montserrat" w:eastAsia="Montserrat" w:hAnsi="Montserrat"/>
          <w:b w:val="1"/>
          <w:bCs w:val="1"/>
          <w:rtl w:val="0"/>
        </w:rPr>
        <w:t xml:space="preserve">470.329 m² entre enero y junio de 2026</w:t>
      </w:r>
      <w:r w:rsidDel="00000000" w:rsidR="00000000" w:rsidRPr="00000000">
        <w:rPr>
          <w:rFonts w:ascii="Montserrat" w:cs="Montserrat" w:eastAsia="Montserrat" w:hAnsi="Montserrat"/>
          <w:rtl w:val="0"/>
        </w:rPr>
        <w:t xml:space="preserve">, un </w:t>
      </w:r>
      <w:r w:rsidDel="00000000" w:rsidR="00000000" w:rsidRPr="00000000">
        <w:rPr>
          <w:rFonts w:ascii="Montserrat" w:cs="Montserrat" w:eastAsia="Montserrat" w:hAnsi="Montserrat"/>
          <w:b w:val="1"/>
          <w:bCs w:val="1"/>
          <w:rtl w:val="0"/>
        </w:rPr>
        <w:t xml:space="preserve">13,89 % más</w:t>
      </w:r>
      <w:r w:rsidDel="00000000" w:rsidR="00000000" w:rsidRPr="00000000">
        <w:rPr>
          <w:rFonts w:ascii="Montserrat" w:cs="Montserrat" w:eastAsia="Montserrat" w:hAnsi="Montserrat"/>
          <w:rtl w:val="0"/>
        </w:rPr>
        <w:t xml:space="preserve"> que en el mismo periodo del año anterior, según las estadísticas recopiladas por las oficinas técnicas de los Colegios Oficiales de Arquitectos de España.</w:t>
      </w:r>
    </w:p>
    <w:p w:rsidR="00000000" w:rsidDel="00000000" w:rsidP="00000000" w:rsidRDefault="00000000" w:rsidRPr="00000000" w14:paraId="00000009">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El crecimiento regional se sitúa 4,11 puntos porcentuales por debajo del registrado en el conjunto del país. En España se visaron 20.987.620 m², un 18 % más que durante el primer semestre de 2025 y el mejor resultado de la serie desde 2019.</w:t>
      </w:r>
    </w:p>
    <w:p w:rsidR="00000000" w:rsidDel="00000000" w:rsidP="00000000" w:rsidRDefault="00000000" w:rsidRPr="00000000" w14:paraId="0000000A">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El decano del Colegio Oficial de Arquitectos de Extremadura (COADE), Manuel Cabalgante, valora positivamente los datos, aunque señala que la evolución regional presenta diferencias respecto a la tendencia nacional.</w:t>
      </w:r>
    </w:p>
    <w:p w:rsidR="00000000" w:rsidDel="00000000" w:rsidP="00000000" w:rsidRDefault="00000000" w:rsidRPr="00000000" w14:paraId="0000000B">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1"/>
          <w:iCs w:val="1"/>
          <w:rtl w:val="0"/>
        </w:rPr>
        <w:t xml:space="preserve">En Extremadura, la superficie total visada también crece durante el primer semestre de 2026, aunque lo hace por debajo de la media nacional. El comportamiento, sin embargo, es desigual: desciende ligeramente la obra nueva residencial, mientras que el aumento de la rehabilitación residencial y, especialmente, de la obra nueva no residencial sostiene el crecimiento global</w:t>
      </w:r>
      <w:r w:rsidDel="00000000" w:rsidR="00000000" w:rsidRPr="00000000">
        <w:rPr>
          <w:rFonts w:ascii="Montserrat" w:cs="Montserrat" w:eastAsia="Montserrat" w:hAnsi="Montserrat"/>
          <w:rtl w:val="0"/>
        </w:rPr>
        <w:t xml:space="preserve">», explica.</w:t>
      </w:r>
    </w:p>
    <w:p w:rsidR="00000000" w:rsidDel="00000000" w:rsidP="00000000" w:rsidRDefault="00000000" w:rsidRPr="00000000" w14:paraId="0000000C">
      <w:pPr>
        <w:pStyle w:val="Heading2"/>
        <w:spacing w:after="80" w:before="360" w:line="276" w:lineRule="auto"/>
        <w:ind w:left="0" w:right="0" w:firstLine="0"/>
        <w:rPr>
          <w:rFonts w:ascii="Montserrat" w:cs="Montserrat" w:eastAsia="Montserrat" w:hAnsi="Montserrat"/>
          <w:color w:val="000000"/>
          <w:sz w:val="26"/>
          <w:szCs w:val="26"/>
        </w:rPr>
      </w:pPr>
      <w:bookmarkStart w:colFirst="0" w:colLast="0" w:name="_rlj6iizgo06z" w:id="5"/>
      <w:bookmarkEnd w:id="5"/>
      <w:r w:rsidDel="00000000" w:rsidR="00000000" w:rsidRPr="00000000">
        <w:rPr>
          <w:rFonts w:ascii="Montserrat" w:cs="Montserrat" w:eastAsia="Montserrat" w:hAnsi="Montserrat"/>
          <w:color w:val="000000"/>
          <w:sz w:val="26"/>
          <w:szCs w:val="26"/>
          <w:rtl w:val="0"/>
        </w:rPr>
        <w:t xml:space="preserve">La obra nueva no residencial impulsa el crecimiento</w:t>
      </w:r>
    </w:p>
    <w:p w:rsidR="00000000" w:rsidDel="00000000" w:rsidP="00000000" w:rsidRDefault="00000000" w:rsidRPr="00000000" w14:paraId="0000000D">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La superficie visada para obra nueva en Extremadura sumó </w:t>
      </w:r>
      <w:r w:rsidDel="00000000" w:rsidR="00000000" w:rsidRPr="00000000">
        <w:rPr>
          <w:rFonts w:ascii="Montserrat" w:cs="Montserrat" w:eastAsia="Montserrat" w:hAnsi="Montserrat"/>
          <w:b w:val="1"/>
          <w:bCs w:val="1"/>
          <w:rtl w:val="0"/>
        </w:rPr>
        <w:t xml:space="preserve">347.563 m²</w:t>
      </w:r>
      <w:r w:rsidDel="00000000" w:rsidR="00000000" w:rsidRPr="00000000">
        <w:rPr>
          <w:rFonts w:ascii="Montserrat" w:cs="Montserrat" w:eastAsia="Montserrat" w:hAnsi="Montserrat"/>
          <w:rtl w:val="0"/>
        </w:rPr>
        <w:t xml:space="preserve">, un </w:t>
      </w:r>
      <w:r w:rsidDel="00000000" w:rsidR="00000000" w:rsidRPr="00000000">
        <w:rPr>
          <w:rFonts w:ascii="Montserrat" w:cs="Montserrat" w:eastAsia="Montserrat" w:hAnsi="Montserrat"/>
          <w:b w:val="1"/>
          <w:bCs w:val="1"/>
          <w:rtl w:val="0"/>
        </w:rPr>
        <w:t xml:space="preserve">16,87 % más</w:t>
      </w:r>
      <w:r w:rsidDel="00000000" w:rsidR="00000000" w:rsidRPr="00000000">
        <w:rPr>
          <w:rFonts w:ascii="Montserrat" w:cs="Montserrat" w:eastAsia="Montserrat" w:hAnsi="Montserrat"/>
          <w:rtl w:val="0"/>
        </w:rPr>
        <w:t xml:space="preserve"> que durante el primer semestre de 2025. El incremento es positivo, aunque inferior al 20 % registrado en el conjunto de España.</w:t>
      </w:r>
    </w:p>
    <w:p w:rsidR="00000000" w:rsidDel="00000000" w:rsidP="00000000" w:rsidRDefault="00000000" w:rsidRPr="00000000" w14:paraId="0000000E">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La evolución difiere según el uso de los edificios. La obra nueva residencial alcanzó los </w:t>
      </w:r>
      <w:r w:rsidDel="00000000" w:rsidR="00000000" w:rsidRPr="00000000">
        <w:rPr>
          <w:rFonts w:ascii="Montserrat" w:cs="Montserrat" w:eastAsia="Montserrat" w:hAnsi="Montserrat"/>
          <w:b w:val="1"/>
          <w:bCs w:val="1"/>
          <w:rtl w:val="0"/>
        </w:rPr>
        <w:t xml:space="preserve">240.213 m²</w:t>
      </w:r>
      <w:r w:rsidDel="00000000" w:rsidR="00000000" w:rsidRPr="00000000">
        <w:rPr>
          <w:rFonts w:ascii="Montserrat" w:cs="Montserrat" w:eastAsia="Montserrat" w:hAnsi="Montserrat"/>
          <w:rtl w:val="0"/>
        </w:rPr>
        <w:t xml:space="preserve"> y descendió un </w:t>
      </w:r>
      <w:r w:rsidDel="00000000" w:rsidR="00000000" w:rsidRPr="00000000">
        <w:rPr>
          <w:rFonts w:ascii="Montserrat" w:cs="Montserrat" w:eastAsia="Montserrat" w:hAnsi="Montserrat"/>
          <w:b w:val="1"/>
          <w:bCs w:val="1"/>
          <w:rtl w:val="0"/>
        </w:rPr>
        <w:t xml:space="preserve">3,23 %</w:t>
      </w:r>
      <w:r w:rsidDel="00000000" w:rsidR="00000000" w:rsidRPr="00000000">
        <w:rPr>
          <w:rFonts w:ascii="Montserrat" w:cs="Montserrat" w:eastAsia="Montserrat" w:hAnsi="Montserrat"/>
          <w:rtl w:val="0"/>
        </w:rPr>
        <w:t xml:space="preserve">, frente al crecimiento nacional del 19 %.</w:t>
      </w:r>
    </w:p>
    <w:p w:rsidR="00000000" w:rsidDel="00000000" w:rsidP="00000000" w:rsidRDefault="00000000" w:rsidRPr="00000000" w14:paraId="0000000F">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Por el contrario, la obra nueva no residencial registró un fuerte incremento, hasta alcanzar los </w:t>
      </w:r>
      <w:r w:rsidDel="00000000" w:rsidR="00000000" w:rsidRPr="00000000">
        <w:rPr>
          <w:rFonts w:ascii="Montserrat" w:cs="Montserrat" w:eastAsia="Montserrat" w:hAnsi="Montserrat"/>
          <w:b w:val="1"/>
          <w:bCs w:val="1"/>
          <w:rtl w:val="0"/>
        </w:rPr>
        <w:t xml:space="preserve">107.350 m²</w:t>
      </w:r>
      <w:r w:rsidDel="00000000" w:rsidR="00000000" w:rsidRPr="00000000">
        <w:rPr>
          <w:rFonts w:ascii="Montserrat" w:cs="Montserrat" w:eastAsia="Montserrat" w:hAnsi="Montserrat"/>
          <w:rtl w:val="0"/>
        </w:rPr>
        <w:t xml:space="preserve">, un </w:t>
      </w:r>
      <w:r w:rsidDel="00000000" w:rsidR="00000000" w:rsidRPr="00000000">
        <w:rPr>
          <w:rFonts w:ascii="Montserrat" w:cs="Montserrat" w:eastAsia="Montserrat" w:hAnsi="Montserrat"/>
          <w:b w:val="1"/>
          <w:bCs w:val="1"/>
          <w:rtl w:val="0"/>
        </w:rPr>
        <w:t xml:space="preserve">118,31 % más</w:t>
      </w:r>
      <w:r w:rsidDel="00000000" w:rsidR="00000000" w:rsidRPr="00000000">
        <w:rPr>
          <w:rFonts w:ascii="Montserrat" w:cs="Montserrat" w:eastAsia="Montserrat" w:hAnsi="Montserrat"/>
          <w:rtl w:val="0"/>
        </w:rPr>
        <w:t xml:space="preserve"> que un año antes. Este porcentaje supera ampliamente el aumento nacional del 23,47 %.</w:t>
      </w:r>
    </w:p>
    <w:p w:rsidR="00000000" w:rsidDel="00000000" w:rsidP="00000000" w:rsidRDefault="00000000" w:rsidRPr="00000000" w14:paraId="00000010">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El crecimiento de la obra nueva en Extremadura se concentra, por tanto, en los usos no residenciales. No obstante, estos resultados deben interpretarse con cautela, ya que pueden estar condicionados por proyectos concretos de gran superficie y no siempre permiten establecer una tendencia sostenida.</w:t>
      </w:r>
    </w:p>
    <w:p w:rsidR="00000000" w:rsidDel="00000000" w:rsidP="00000000" w:rsidRDefault="00000000" w:rsidRPr="00000000" w14:paraId="00000011">
      <w:pPr>
        <w:pStyle w:val="Heading2"/>
        <w:spacing w:after="80" w:before="360" w:line="276" w:lineRule="auto"/>
        <w:ind w:left="0" w:right="0" w:firstLine="0"/>
        <w:rPr>
          <w:rFonts w:ascii="Montserrat" w:cs="Montserrat" w:eastAsia="Montserrat" w:hAnsi="Montserrat"/>
          <w:color w:val="000000"/>
          <w:sz w:val="34"/>
          <w:szCs w:val="34"/>
        </w:rPr>
      </w:pPr>
      <w:bookmarkStart w:colFirst="0" w:colLast="0" w:name="_u3jjmrq2kcsw" w:id="6"/>
      <w:bookmarkEnd w:id="6"/>
      <w:r w:rsidDel="00000000" w:rsidR="00000000" w:rsidRPr="00000000">
        <w:rPr>
          <w:rFonts w:ascii="Montserrat" w:cs="Montserrat" w:eastAsia="Montserrat" w:hAnsi="Montserrat"/>
          <w:color w:val="000000"/>
          <w:sz w:val="26"/>
          <w:szCs w:val="26"/>
          <w:rtl w:val="0"/>
        </w:rPr>
        <w:t xml:space="preserve">La rehabilitación residencial supera la media nacional</w:t>
      </w:r>
      <w:r w:rsidDel="00000000" w:rsidR="00000000" w:rsidRPr="00000000">
        <w:rPr>
          <w:rtl w:val="0"/>
        </w:rPr>
      </w:r>
    </w:p>
    <w:p w:rsidR="00000000" w:rsidDel="00000000" w:rsidP="00000000" w:rsidRDefault="00000000" w:rsidRPr="00000000" w14:paraId="00000012">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La superficie destinada a gran rehabilitación alcanzó los </w:t>
      </w:r>
      <w:r w:rsidDel="00000000" w:rsidR="00000000" w:rsidRPr="00000000">
        <w:rPr>
          <w:rFonts w:ascii="Montserrat" w:cs="Montserrat" w:eastAsia="Montserrat" w:hAnsi="Montserrat"/>
          <w:b w:val="1"/>
          <w:bCs w:val="1"/>
          <w:rtl w:val="0"/>
        </w:rPr>
        <w:t xml:space="preserve">122.766 m²</w:t>
      </w:r>
      <w:r w:rsidDel="00000000" w:rsidR="00000000" w:rsidRPr="00000000">
        <w:rPr>
          <w:rFonts w:ascii="Montserrat" w:cs="Montserrat" w:eastAsia="Montserrat" w:hAnsi="Montserrat"/>
          <w:rtl w:val="0"/>
        </w:rPr>
        <w:t xml:space="preserve"> en Extremadura, un </w:t>
      </w:r>
      <w:r w:rsidDel="00000000" w:rsidR="00000000" w:rsidRPr="00000000">
        <w:rPr>
          <w:rFonts w:ascii="Montserrat" w:cs="Montserrat" w:eastAsia="Montserrat" w:hAnsi="Montserrat"/>
          <w:b w:val="1"/>
          <w:bCs w:val="1"/>
          <w:rtl w:val="0"/>
        </w:rPr>
        <w:t xml:space="preserve">6,22 % más</w:t>
      </w:r>
      <w:r w:rsidDel="00000000" w:rsidR="00000000" w:rsidRPr="00000000">
        <w:rPr>
          <w:rFonts w:ascii="Montserrat" w:cs="Montserrat" w:eastAsia="Montserrat" w:hAnsi="Montserrat"/>
          <w:rtl w:val="0"/>
        </w:rPr>
        <w:t xml:space="preserve"> que en el mismo periodo de 2025. El avance se sitúa por debajo del crecimiento nacional, cifrado en un 12 %.</w:t>
      </w:r>
    </w:p>
    <w:p w:rsidR="00000000" w:rsidDel="00000000" w:rsidP="00000000" w:rsidRDefault="00000000" w:rsidRPr="00000000" w14:paraId="00000013">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El comportamiento de la rehabilitación residencial es especialmente favorable: suma </w:t>
      </w:r>
      <w:r w:rsidDel="00000000" w:rsidR="00000000" w:rsidRPr="00000000">
        <w:rPr>
          <w:rFonts w:ascii="Montserrat" w:cs="Montserrat" w:eastAsia="Montserrat" w:hAnsi="Montserrat"/>
          <w:b w:val="1"/>
          <w:bCs w:val="1"/>
          <w:rtl w:val="0"/>
        </w:rPr>
        <w:t xml:space="preserve">78.314 m²</w:t>
      </w:r>
      <w:r w:rsidDel="00000000" w:rsidR="00000000" w:rsidRPr="00000000">
        <w:rPr>
          <w:rFonts w:ascii="Montserrat" w:cs="Montserrat" w:eastAsia="Montserrat" w:hAnsi="Montserrat"/>
          <w:rtl w:val="0"/>
        </w:rPr>
        <w:t xml:space="preserve"> y aumenta un </w:t>
      </w:r>
      <w:r w:rsidDel="00000000" w:rsidR="00000000" w:rsidRPr="00000000">
        <w:rPr>
          <w:rFonts w:ascii="Montserrat" w:cs="Montserrat" w:eastAsia="Montserrat" w:hAnsi="Montserrat"/>
          <w:b w:val="1"/>
          <w:bCs w:val="1"/>
          <w:rtl w:val="0"/>
        </w:rPr>
        <w:t xml:space="preserve">15,67 %</w:t>
      </w:r>
      <w:r w:rsidDel="00000000" w:rsidR="00000000" w:rsidRPr="00000000">
        <w:rPr>
          <w:rFonts w:ascii="Montserrat" w:cs="Montserrat" w:eastAsia="Montserrat" w:hAnsi="Montserrat"/>
          <w:rtl w:val="0"/>
        </w:rPr>
        <w:t xml:space="preserve">, por encima del incremento medio del 13 % registrado en España.</w:t>
      </w:r>
    </w:p>
    <w:p w:rsidR="00000000" w:rsidDel="00000000" w:rsidP="00000000" w:rsidRDefault="00000000" w:rsidRPr="00000000" w14:paraId="00000014">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En cambio, la rehabilitación no residencial se sitúa en </w:t>
      </w:r>
      <w:r w:rsidDel="00000000" w:rsidR="00000000" w:rsidRPr="00000000">
        <w:rPr>
          <w:rFonts w:ascii="Montserrat" w:cs="Montserrat" w:eastAsia="Montserrat" w:hAnsi="Montserrat"/>
          <w:b w:val="1"/>
          <w:bCs w:val="1"/>
          <w:rtl w:val="0"/>
        </w:rPr>
        <w:t xml:space="preserve">44.452 m²</w:t>
      </w:r>
      <w:r w:rsidDel="00000000" w:rsidR="00000000" w:rsidRPr="00000000">
        <w:rPr>
          <w:rFonts w:ascii="Montserrat" w:cs="Montserrat" w:eastAsia="Montserrat" w:hAnsi="Montserrat"/>
          <w:rtl w:val="0"/>
        </w:rPr>
        <w:t xml:space="preserve">, con un descenso del </w:t>
      </w:r>
      <w:r w:rsidDel="00000000" w:rsidR="00000000" w:rsidRPr="00000000">
        <w:rPr>
          <w:rFonts w:ascii="Montserrat" w:cs="Montserrat" w:eastAsia="Montserrat" w:hAnsi="Montserrat"/>
          <w:b w:val="1"/>
          <w:bCs w:val="1"/>
          <w:rtl w:val="0"/>
        </w:rPr>
        <w:t xml:space="preserve">7,14 %</w:t>
      </w:r>
      <w:r w:rsidDel="00000000" w:rsidR="00000000" w:rsidRPr="00000000">
        <w:rPr>
          <w:rFonts w:ascii="Montserrat" w:cs="Montserrat" w:eastAsia="Montserrat" w:hAnsi="Montserrat"/>
          <w:rtl w:val="0"/>
        </w:rPr>
        <w:t xml:space="preserve">, mientras que en el conjunto del país crece un 10,36 %.</w:t>
      </w:r>
    </w:p>
    <w:p w:rsidR="00000000" w:rsidDel="00000000" w:rsidP="00000000" w:rsidRDefault="00000000" w:rsidRPr="00000000" w14:paraId="00000015">
      <w:pPr>
        <w:pStyle w:val="Heading2"/>
        <w:spacing w:after="80" w:before="360" w:line="276" w:lineRule="auto"/>
        <w:ind w:left="0" w:right="0" w:firstLine="0"/>
        <w:rPr>
          <w:rFonts w:ascii="Montserrat" w:cs="Montserrat" w:eastAsia="Montserrat" w:hAnsi="Montserrat"/>
          <w:color w:val="000000"/>
          <w:sz w:val="34"/>
          <w:szCs w:val="34"/>
        </w:rPr>
      </w:pPr>
      <w:bookmarkStart w:colFirst="0" w:colLast="0" w:name="_babkvwwxsj9i" w:id="7"/>
      <w:bookmarkEnd w:id="7"/>
      <w:r w:rsidDel="00000000" w:rsidR="00000000" w:rsidRPr="00000000">
        <w:rPr>
          <w:rFonts w:ascii="Montserrat" w:cs="Montserrat" w:eastAsia="Montserrat" w:hAnsi="Montserrat"/>
          <w:color w:val="000000"/>
          <w:sz w:val="26"/>
          <w:szCs w:val="26"/>
          <w:rtl w:val="0"/>
        </w:rPr>
        <w:t xml:space="preserve">La falta de mano de obra, principal dificultad del sector</w:t>
      </w:r>
      <w:r w:rsidDel="00000000" w:rsidR="00000000" w:rsidRPr="00000000">
        <w:rPr>
          <w:rtl w:val="0"/>
        </w:rPr>
      </w:r>
    </w:p>
    <w:p w:rsidR="00000000" w:rsidDel="00000000" w:rsidP="00000000" w:rsidRDefault="00000000" w:rsidRPr="00000000" w14:paraId="00000016">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Más allá del crecimiento de la superficie visada, el decano del COADE advierte de las dificultades que afectan a la ejecución efectiva de los proyectos.</w:t>
      </w:r>
    </w:p>
    <w:p w:rsidR="00000000" w:rsidDel="00000000" w:rsidP="00000000" w:rsidRDefault="00000000" w:rsidRPr="00000000" w14:paraId="00000017">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1"/>
          <w:iCs w:val="1"/>
          <w:rtl w:val="0"/>
        </w:rPr>
        <w:t xml:space="preserve">El principal problema que seguimos encontrando es la escasez de mano de obra cualificada para ejecutar todas las actuaciones que se proyectan y visan</w:t>
      </w:r>
      <w:r w:rsidDel="00000000" w:rsidR="00000000" w:rsidRPr="00000000">
        <w:rPr>
          <w:rFonts w:ascii="Montserrat" w:cs="Montserrat" w:eastAsia="Montserrat" w:hAnsi="Montserrat"/>
          <w:rtl w:val="0"/>
        </w:rPr>
        <w:t xml:space="preserve">», subraya Manuel Cabalgante.</w:t>
      </w:r>
    </w:p>
    <w:p w:rsidR="00000000" w:rsidDel="00000000" w:rsidP="00000000" w:rsidRDefault="00000000" w:rsidRPr="00000000" w14:paraId="00000018">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El decano también señala que la evolución del sector debe analizarse atendiendo a los plazos propios de la actividad edificatoria: «</w:t>
      </w:r>
      <w:r w:rsidDel="00000000" w:rsidR="00000000" w:rsidRPr="00000000">
        <w:rPr>
          <w:rFonts w:ascii="Montserrat" w:cs="Montserrat" w:eastAsia="Montserrat" w:hAnsi="Montserrat"/>
          <w:i w:val="1"/>
          <w:iCs w:val="1"/>
          <w:rtl w:val="0"/>
        </w:rPr>
        <w:t xml:space="preserve">La evolución en Extremadura no es lineal, sino que alterna periodos de crecimiento y descenso. Esta oscilación podría estar relacionada, en parte, con el desfase temporal entre el visado de las promociones y su posterior ejecución, que puede trasladar sus efectos de un ejercicio a otro</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19">
      <w:pPr>
        <w:pStyle w:val="Heading2"/>
        <w:spacing w:after="80" w:before="360" w:line="276" w:lineRule="auto"/>
        <w:ind w:left="0" w:right="0" w:firstLine="0"/>
        <w:rPr>
          <w:rFonts w:ascii="Montserrat" w:cs="Montserrat" w:eastAsia="Montserrat" w:hAnsi="Montserrat"/>
          <w:color w:val="000000"/>
          <w:sz w:val="34"/>
          <w:szCs w:val="34"/>
        </w:rPr>
      </w:pPr>
      <w:bookmarkStart w:colFirst="0" w:colLast="0" w:name="_imde7fo44f57" w:id="8"/>
      <w:bookmarkEnd w:id="8"/>
      <w:r w:rsidDel="00000000" w:rsidR="00000000" w:rsidRPr="00000000">
        <w:rPr>
          <w:rFonts w:ascii="Montserrat" w:cs="Montserrat" w:eastAsia="Montserrat" w:hAnsi="Montserrat"/>
          <w:color w:val="000000"/>
          <w:sz w:val="26"/>
          <w:szCs w:val="26"/>
          <w:rtl w:val="0"/>
        </w:rPr>
        <w:t xml:space="preserve">El mejor primer semestre en España desde 2019</w:t>
      </w:r>
      <w:r w:rsidDel="00000000" w:rsidR="00000000" w:rsidRPr="00000000">
        <w:rPr>
          <w:rtl w:val="0"/>
        </w:rPr>
      </w:r>
    </w:p>
    <w:p w:rsidR="00000000" w:rsidDel="00000000" w:rsidP="00000000" w:rsidRDefault="00000000" w:rsidRPr="00000000" w14:paraId="0000001A">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En el conjunto nacional, la superficie visada para obra nueva alcanzó los </w:t>
      </w:r>
      <w:r w:rsidDel="00000000" w:rsidR="00000000" w:rsidRPr="00000000">
        <w:rPr>
          <w:rFonts w:ascii="Montserrat" w:cs="Montserrat" w:eastAsia="Montserrat" w:hAnsi="Montserrat"/>
          <w:b w:val="1"/>
          <w:bCs w:val="1"/>
          <w:rtl w:val="0"/>
        </w:rPr>
        <w:t xml:space="preserve">15.559.152 m²</w:t>
      </w:r>
      <w:r w:rsidDel="00000000" w:rsidR="00000000" w:rsidRPr="00000000">
        <w:rPr>
          <w:rFonts w:ascii="Montserrat" w:cs="Montserrat" w:eastAsia="Montserrat" w:hAnsi="Montserrat"/>
          <w:rtl w:val="0"/>
        </w:rPr>
        <w:t xml:space="preserve">, un 20 % más que en 2025. Durante el semestre se visaron </w:t>
      </w:r>
      <w:r w:rsidDel="00000000" w:rsidR="00000000" w:rsidRPr="00000000">
        <w:rPr>
          <w:rFonts w:ascii="Montserrat" w:cs="Montserrat" w:eastAsia="Montserrat" w:hAnsi="Montserrat"/>
          <w:b w:val="1"/>
          <w:bCs w:val="1"/>
          <w:rtl w:val="0"/>
        </w:rPr>
        <w:t xml:space="preserve">72.056 viviendas de nueva planta</w:t>
      </w:r>
      <w:r w:rsidDel="00000000" w:rsidR="00000000" w:rsidRPr="00000000">
        <w:rPr>
          <w:rFonts w:ascii="Montserrat" w:cs="Montserrat" w:eastAsia="Montserrat" w:hAnsi="Montserrat"/>
          <w:rtl w:val="0"/>
        </w:rPr>
        <w:t xml:space="preserve">, lo que representa un incremento del 21,36 %.</w:t>
      </w:r>
    </w:p>
    <w:p w:rsidR="00000000" w:rsidDel="00000000" w:rsidP="00000000" w:rsidRDefault="00000000" w:rsidRPr="00000000" w14:paraId="0000001B">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La gran rehabilitación sumó </w:t>
      </w:r>
      <w:r w:rsidDel="00000000" w:rsidR="00000000" w:rsidRPr="00000000">
        <w:rPr>
          <w:rFonts w:ascii="Montserrat" w:cs="Montserrat" w:eastAsia="Montserrat" w:hAnsi="Montserrat"/>
          <w:b w:val="1"/>
          <w:bCs w:val="1"/>
          <w:rtl w:val="0"/>
        </w:rPr>
        <w:t xml:space="preserve">5.428.474 m²</w:t>
      </w:r>
      <w:r w:rsidDel="00000000" w:rsidR="00000000" w:rsidRPr="00000000">
        <w:rPr>
          <w:rFonts w:ascii="Montserrat" w:cs="Montserrat" w:eastAsia="Montserrat" w:hAnsi="Montserrat"/>
          <w:rtl w:val="0"/>
        </w:rPr>
        <w:t xml:space="preserve">, un 12 % más. Sin embargo, el número de viviendas visadas para este tipo de intervención descendió un 8 %, hasta situarse en 28.411 unidades.</w:t>
      </w:r>
    </w:p>
    <w:p w:rsidR="00000000" w:rsidDel="00000000" w:rsidP="00000000" w:rsidRDefault="00000000" w:rsidRPr="00000000" w14:paraId="0000001C">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La presidenta del Consejo Superior de los Colegios de Arquitectos de España (CSCAE), Marta Vall-llossera, considera que los resultados globales son positivos en un contexto de escasez de vivienda, aunque apela a mantener el impulso del sector para responder a la demanda residencial y adaptar el parque edificado a la emergencia climática y a los objetivos europeos de descarbonización.</w:t>
      </w:r>
    </w:p>
    <w:p w:rsidR="00000000" w:rsidDel="00000000" w:rsidP="00000000" w:rsidRDefault="00000000" w:rsidRPr="00000000" w14:paraId="0000001D">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El informe se ha elaborado con los datos recopilados por las oficinas técnicas de los 30 Colegios Oficiales de Arquitectos de España, con fecha de cierre de 9 de septiembre de 2026.</w:t>
      </w:r>
    </w:p>
    <w:p w:rsidR="00000000" w:rsidDel="00000000" w:rsidP="00000000" w:rsidRDefault="00000000" w:rsidRPr="00000000" w14:paraId="0000001E">
      <w:pPr>
        <w:spacing w:after="240" w:before="240" w:lineRule="auto"/>
        <w:rPr>
          <w:rFonts w:ascii="Verdana" w:cs="Verdana" w:eastAsia="Verdana" w:hAnsi="Verdana"/>
          <w:sz w:val="18"/>
          <w:szCs w:val="18"/>
        </w:rPr>
      </w:pPr>
      <w:r w:rsidDel="00000000" w:rsidR="00000000" w:rsidRPr="00000000">
        <w:rPr>
          <w:rFonts w:ascii="Montserrat" w:cs="Montserrat" w:eastAsia="Montserrat" w:hAnsi="Montserrat"/>
          <w:rtl w:val="0"/>
        </w:rPr>
        <w:br w:type="textWrapping"/>
        <w:t xml:space="preserve">Contacto de prensa: </w:t>
        <w:br w:type="textWrapping"/>
      </w:r>
      <w:hyperlink r:id="rId7">
        <w:r w:rsidDel="00000000" w:rsidR="00000000" w:rsidRPr="00000000">
          <w:rPr>
            <w:rFonts w:ascii="Montserrat" w:cs="Montserrat" w:eastAsia="Montserrat" w:hAnsi="Montserrat"/>
            <w:color w:val="1155cc"/>
            <w:u w:val="single"/>
            <w:rtl w:val="0"/>
          </w:rPr>
          <w:t xml:space="preserve">comunicacion@coade.org</w:t>
        </w:r>
      </w:hyperlink>
      <w:r w:rsidDel="00000000" w:rsidR="00000000" w:rsidRPr="00000000">
        <w:rPr>
          <w:rFonts w:ascii="Montserrat" w:cs="Montserrat" w:eastAsia="Montserrat" w:hAnsi="Montserrat"/>
          <w:rtl w:val="0"/>
        </w:rPr>
        <w:t xml:space="preserve"> | 924 20 71 35 | </w:t>
      </w:r>
      <w:hyperlink r:id="rId8">
        <w:r w:rsidDel="00000000" w:rsidR="00000000" w:rsidRPr="00000000">
          <w:rPr>
            <w:rFonts w:ascii="Montserrat" w:cs="Montserrat" w:eastAsia="Montserrat" w:hAnsi="Montserrat"/>
            <w:color w:val="1155cc"/>
            <w:u w:val="single"/>
            <w:rtl w:val="0"/>
          </w:rPr>
          <w:t xml:space="preserve">www.coade.org</w:t>
        </w:r>
      </w:hyperlink>
      <w:r w:rsidDel="00000000" w:rsidR="00000000" w:rsidRPr="00000000">
        <w:rPr>
          <w:rFonts w:ascii="Montserrat" w:cs="Montserrat" w:eastAsia="Montserrat" w:hAnsi="Montserrat"/>
          <w:rtl w:val="0"/>
        </w:rPr>
        <w:t xml:space="preserve"> </w:t>
      </w: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nda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p>
  <w:tbl>
    <w:tblPr>
      <w:tblStyle w:val="Table1"/>
      <w:tblW w:w="8931.0" w:type="dxa"/>
      <w:jc w:val="left"/>
      <w:tblLayout w:type="fixed"/>
      <w:tblLook w:val="0400"/>
    </w:tblPr>
    <w:tblGrid>
      <w:gridCol w:w="4395"/>
      <w:gridCol w:w="4536"/>
      <w:tblGridChange w:id="0">
        <w:tblGrid>
          <w:gridCol w:w="4395"/>
          <w:gridCol w:w="4536"/>
        </w:tblGrid>
      </w:tblGridChange>
    </w:tblGrid>
    <w:tr>
      <w:trPr>
        <w:cantSplit w:val="0"/>
        <w:trHeight w:val="910" w:hRule="atLeast"/>
        <w:tblHeader w:val="0"/>
      </w:trPr>
      <w:tc>
        <w:tcPr>
          <w:shd w:fill="017c8b" w:val="clear"/>
          <w:tcMar>
            <w:top w:w="0.0" w:type="dxa"/>
            <w:left w:w="227.0" w:type="dxa"/>
            <w:bottom w:w="0.0" w:type="dxa"/>
            <w:right w:w="227.0" w:type="dxa"/>
          </w:tcMar>
          <w:vAlign w:val="center"/>
        </w:tcPr>
        <w:p w:rsidR="00000000" w:rsidDel="00000000" w:rsidP="00000000" w:rsidRDefault="00000000" w:rsidRPr="00000000" w14:paraId="00000020">
          <w:pPr>
            <w:spacing w:after="160" w:line="252.00000000000003" w:lineRule="auto"/>
            <w:jc w:val="left"/>
            <w:rPr>
              <w:rFonts w:ascii="Calibri" w:cs="Calibri" w:eastAsia="Calibri" w:hAnsi="Calibri"/>
              <w:sz w:val="24"/>
              <w:szCs w:val="24"/>
            </w:rPr>
          </w:pPr>
          <w:r w:rsidDel="00000000" w:rsidR="00000000" w:rsidRPr="00000000">
            <w:rPr>
              <w:rFonts w:ascii="Verdana" w:cs="Verdana" w:eastAsia="Verdana" w:hAnsi="Verdana"/>
              <w:color w:val="ffffff"/>
              <w:sz w:val="20"/>
              <w:szCs w:val="20"/>
            </w:rPr>
            <w:drawing>
              <wp:inline distB="0" distT="0" distL="0" distR="0">
                <wp:extent cx="2489145" cy="376975"/>
                <wp:effectExtent b="0" l="0" r="0" t="0"/>
                <wp:docPr descr="cid:image001.png@01D65072.99930010" id="1" name="image2.png"/>
                <a:graphic>
                  <a:graphicData uri="http://schemas.openxmlformats.org/drawingml/2006/picture">
                    <pic:pic>
                      <pic:nvPicPr>
                        <pic:cNvPr descr="cid:image001.png@01D65072.99930010" id="0" name="image2.png"/>
                        <pic:cNvPicPr preferRelativeResize="0"/>
                      </pic:nvPicPr>
                      <pic:blipFill>
                        <a:blip r:embed="rId1"/>
                        <a:srcRect b="0" l="0" r="0" t="0"/>
                        <a:stretch>
                          <a:fillRect/>
                        </a:stretch>
                      </pic:blipFill>
                      <pic:spPr>
                        <a:xfrm>
                          <a:off x="0" y="0"/>
                          <a:ext cx="2489145" cy="376975"/>
                        </a:xfrm>
                        <a:prstGeom prst="rect"/>
                        <a:ln/>
                      </pic:spPr>
                    </pic:pic>
                  </a:graphicData>
                </a:graphic>
              </wp:inline>
            </w:drawing>
          </w:r>
          <w:r w:rsidDel="00000000" w:rsidR="00000000" w:rsidRPr="00000000">
            <w:rPr>
              <w:rtl w:val="0"/>
            </w:rPr>
          </w:r>
        </w:p>
      </w:tc>
      <w:tc>
        <w:tcPr>
          <w:shd w:fill="017c8b" w:val="clear"/>
          <w:tcMar>
            <w:top w:w="0.0" w:type="dxa"/>
            <w:left w:w="227.0" w:type="dxa"/>
            <w:bottom w:w="0.0" w:type="dxa"/>
            <w:right w:w="227.0" w:type="dxa"/>
          </w:tcMar>
          <w:vAlign w:val="center"/>
        </w:tcPr>
        <w:p w:rsidR="00000000" w:rsidDel="00000000" w:rsidP="00000000" w:rsidRDefault="00000000" w:rsidRPr="00000000" w14:paraId="00000021">
          <w:pPr>
            <w:tabs>
              <w:tab w:val="left" w:leader="none" w:pos="4452"/>
            </w:tabs>
            <w:spacing w:after="160" w:line="259" w:lineRule="auto"/>
            <w:jc w:val="center"/>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color w:val="ffffff"/>
              <w:sz w:val="40"/>
              <w:szCs w:val="40"/>
              <w:rtl w:val="0"/>
            </w:rPr>
            <w:t xml:space="preserve">NOTA DE PRENSA</w:t>
          </w:r>
          <w:r w:rsidDel="00000000" w:rsidR="00000000" w:rsidRPr="00000000">
            <w:rPr>
              <w:rtl w:val="0"/>
            </w:rPr>
          </w:r>
        </w:p>
      </w:tc>
    </w:tr>
  </w:tbl>
  <w:p w:rsidR="00000000" w:rsidDel="00000000" w:rsidP="00000000" w:rsidRDefault="00000000" w:rsidRPr="00000000" w14:paraId="00000022">
    <w:pPr>
      <w:shd w:fill="ffffff" w:val="clear"/>
      <w:spacing w:after="0" w:line="240" w:lineRule="auto"/>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before="240" w:line="240" w:lineRule="auto"/>
    </w:pPr>
    <w:rPr>
      <w:rFonts w:ascii="Candara" w:cs="Candara" w:eastAsia="Candara" w:hAnsi="Candara"/>
      <w:b w:val="1"/>
      <w:bCs w:val="1"/>
      <w:color w:val="c00000"/>
      <w:sz w:val="40"/>
      <w:szCs w:val="40"/>
    </w:rPr>
  </w:style>
  <w:style w:type="paragraph" w:styleId="Heading2">
    <w:name w:val="heading 2"/>
    <w:basedOn w:val="Normal"/>
    <w:next w:val="Normal"/>
    <w:pPr>
      <w:spacing w:after="240" w:before="240" w:line="240" w:lineRule="auto"/>
      <w:ind w:left="720" w:right="288" w:hanging="360"/>
    </w:pPr>
    <w:rPr>
      <w:rFonts w:ascii="Candara" w:cs="Candara" w:eastAsia="Candara" w:hAnsi="Candara"/>
      <w:b w:val="1"/>
      <w:bCs w:val="1"/>
      <w:color w:val="c00000"/>
      <w:sz w:val="36"/>
      <w:szCs w:val="36"/>
    </w:rPr>
  </w:style>
  <w:style w:type="paragraph" w:styleId="Heading3">
    <w:name w:val="heading 3"/>
    <w:basedOn w:val="Normal"/>
    <w:next w:val="Normal"/>
    <w:pPr>
      <w:spacing w:after="240" w:before="0" w:line="240" w:lineRule="auto"/>
      <w:ind w:left="720" w:right="288" w:hanging="360"/>
    </w:pPr>
    <w:rPr>
      <w:rFonts w:ascii="Candara" w:cs="Candara" w:eastAsia="Candara" w:hAnsi="Candara"/>
      <w:b w:val="1"/>
      <w:bCs w:val="1"/>
      <w:color w:val="000000"/>
      <w:sz w:val="32"/>
      <w:szCs w:val="32"/>
    </w:rPr>
  </w:style>
  <w:style w:type="paragraph" w:styleId="Heading4">
    <w:name w:val="heading 4"/>
    <w:basedOn w:val="Normal"/>
    <w:next w:val="Normal"/>
    <w:pPr>
      <w:spacing w:after="240" w:before="0" w:line="240" w:lineRule="auto"/>
      <w:ind w:left="720" w:right="288" w:hanging="360"/>
    </w:pPr>
    <w:rPr>
      <w:rFonts w:ascii="Candara" w:cs="Candara" w:eastAsia="Candara" w:hAnsi="Candara"/>
      <w:b w:val="1"/>
      <w:bCs w:val="1"/>
      <w:i w:val="1"/>
      <w:iCs w:val="1"/>
      <w:color w:val="000000"/>
      <w:sz w:val="32"/>
      <w:szCs w:val="32"/>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comunicacion@coade.org" TargetMode="External"/><Relationship Id="rId8" Type="http://schemas.openxmlformats.org/officeDocument/2006/relationships/hyperlink" Target="http://www.coade.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Candara-regular.ttf"/><Relationship Id="rId6" Type="http://schemas.openxmlformats.org/officeDocument/2006/relationships/font" Target="fonts/Candara-bold.ttf"/><Relationship Id="rId7" Type="http://schemas.openxmlformats.org/officeDocument/2006/relationships/font" Target="fonts/Candara-italic.ttf"/><Relationship Id="rId8" Type="http://schemas.openxmlformats.org/officeDocument/2006/relationships/font" Target="fonts/Canda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