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7D160BB6" w14:textId="735CAA4A" w:rsidR="00F33D59" w:rsidRPr="00F33D59" w:rsidRDefault="00F33D59" w:rsidP="000B77C9">
      <w:pPr>
        <w:pStyle w:val="Ttulo1"/>
        <w:rPr>
          <w:color w:val="EE0000"/>
          <w:sz w:val="24"/>
          <w:szCs w:val="24"/>
        </w:rPr>
      </w:pPr>
      <w:r w:rsidRPr="00F33D59">
        <w:rPr>
          <w:color w:val="EE0000"/>
          <w:sz w:val="24"/>
          <w:szCs w:val="24"/>
        </w:rPr>
        <w:t>Embargo hasta las 10:00</w:t>
      </w:r>
      <w:r>
        <w:rPr>
          <w:color w:val="EE0000"/>
          <w:sz w:val="24"/>
          <w:szCs w:val="24"/>
        </w:rPr>
        <w:t xml:space="preserve"> am</w:t>
      </w:r>
      <w:r w:rsidRPr="00F33D59">
        <w:rPr>
          <w:color w:val="EE0000"/>
          <w:sz w:val="24"/>
          <w:szCs w:val="24"/>
        </w:rPr>
        <w:t xml:space="preserve"> del 15 de septiembre</w:t>
      </w:r>
      <w:r>
        <w:rPr>
          <w:color w:val="EE0000"/>
          <w:sz w:val="24"/>
          <w:szCs w:val="24"/>
        </w:rPr>
        <w:t xml:space="preserve"> de 2026</w:t>
      </w:r>
    </w:p>
    <w:p w14:paraId="62CF206E" w14:textId="7660DD48" w:rsidR="00347255" w:rsidRPr="001A2762" w:rsidRDefault="00F423DE" w:rsidP="000B77C9">
      <w:pPr>
        <w:pStyle w:val="Ttulo1"/>
        <w:rPr>
          <w:rStyle w:val="Redonda"/>
          <w:color w:val="000000"/>
          <w:sz w:val="40"/>
          <w:szCs w:val="40"/>
        </w:rPr>
      </w:pPr>
      <w:r>
        <w:rPr>
          <w:color w:val="000000"/>
          <w:sz w:val="40"/>
          <w:szCs w:val="40"/>
        </w:rPr>
        <w:t>E</w:t>
      </w:r>
      <w:r w:rsidR="00B5087E">
        <w:rPr>
          <w:color w:val="000000"/>
          <w:sz w:val="40"/>
          <w:szCs w:val="40"/>
        </w:rPr>
        <w:t>l sector de la edificación en España</w:t>
      </w:r>
      <w:r w:rsidR="001A2762">
        <w:rPr>
          <w:color w:val="000000"/>
          <w:sz w:val="40"/>
          <w:szCs w:val="40"/>
        </w:rPr>
        <w:t xml:space="preserve"> </w:t>
      </w:r>
      <w:r>
        <w:rPr>
          <w:color w:val="000000"/>
          <w:sz w:val="40"/>
          <w:szCs w:val="40"/>
        </w:rPr>
        <w:t xml:space="preserve">crece casi un 20% en </w:t>
      </w:r>
      <w:r w:rsidR="001A2762">
        <w:rPr>
          <w:color w:val="000000"/>
          <w:sz w:val="40"/>
          <w:szCs w:val="40"/>
        </w:rPr>
        <w:t>la primera mitad del año</w:t>
      </w:r>
      <w:r w:rsidR="00293983" w:rsidRPr="00C13686">
        <w:rPr>
          <w:color w:val="000000"/>
          <w:sz w:val="40"/>
          <w:szCs w:val="40"/>
        </w:rPr>
        <w:t xml:space="preserve"> </w:t>
      </w:r>
    </w:p>
    <w:p w14:paraId="0ECFF8C4" w14:textId="31CE7D5C" w:rsidR="00D049FB" w:rsidRPr="00F00650" w:rsidRDefault="00D049FB" w:rsidP="000B77C9">
      <w:pPr>
        <w:rPr>
          <w:rStyle w:val="Redonda"/>
        </w:rPr>
      </w:pPr>
    </w:p>
    <w:p w14:paraId="24EBAE69" w14:textId="7C144A50" w:rsidR="004D7A5B" w:rsidRPr="00825FD5" w:rsidRDefault="004D727C" w:rsidP="000B77C9">
      <w:pPr>
        <w:pStyle w:val="Ttulo2"/>
        <w:numPr>
          <w:ilvl w:val="0"/>
          <w:numId w:val="2"/>
        </w:numPr>
        <w:ind w:left="567" w:hanging="567"/>
        <w:contextualSpacing/>
        <w:rPr>
          <w:rStyle w:val="Redonda"/>
          <w:color w:val="auto"/>
          <w:sz w:val="22"/>
          <w:szCs w:val="22"/>
        </w:rPr>
      </w:pPr>
      <w:r w:rsidRPr="00825FD5">
        <w:rPr>
          <w:color w:val="auto"/>
          <w:sz w:val="22"/>
          <w:szCs w:val="22"/>
        </w:rPr>
        <w:t xml:space="preserve">La superficie visada </w:t>
      </w:r>
      <w:r w:rsidR="00BB3C98">
        <w:rPr>
          <w:color w:val="auto"/>
          <w:sz w:val="22"/>
          <w:szCs w:val="22"/>
        </w:rPr>
        <w:t>e</w:t>
      </w:r>
      <w:r w:rsidR="00BB3C98" w:rsidRPr="00BB3C98">
        <w:rPr>
          <w:color w:val="auto"/>
          <w:sz w:val="22"/>
          <w:szCs w:val="22"/>
        </w:rPr>
        <w:t>ntre enero y junio</w:t>
      </w:r>
      <w:r w:rsidRPr="00BB3C98">
        <w:rPr>
          <w:color w:val="auto"/>
          <w:sz w:val="22"/>
          <w:szCs w:val="22"/>
        </w:rPr>
        <w:t xml:space="preserve"> </w:t>
      </w:r>
      <w:r w:rsidR="00F423DE">
        <w:rPr>
          <w:color w:val="auto"/>
          <w:sz w:val="22"/>
          <w:szCs w:val="22"/>
        </w:rPr>
        <w:t>registra</w:t>
      </w:r>
      <w:r w:rsidR="00B5087E">
        <w:rPr>
          <w:color w:val="auto"/>
          <w:sz w:val="22"/>
          <w:szCs w:val="22"/>
        </w:rPr>
        <w:t xml:space="preserve"> los mejores datos de la serie desde 2019, con c</w:t>
      </w:r>
      <w:r w:rsidR="00F423DE">
        <w:rPr>
          <w:color w:val="auto"/>
          <w:sz w:val="22"/>
          <w:szCs w:val="22"/>
        </w:rPr>
        <w:t>erca de</w:t>
      </w:r>
      <w:r w:rsidR="00B5087E">
        <w:rPr>
          <w:color w:val="auto"/>
          <w:sz w:val="22"/>
          <w:szCs w:val="22"/>
        </w:rPr>
        <w:t xml:space="preserve"> 21 millones de metros cuadrados</w:t>
      </w:r>
      <w:r w:rsidR="00F423DE">
        <w:rPr>
          <w:color w:val="auto"/>
          <w:sz w:val="22"/>
          <w:szCs w:val="22"/>
        </w:rPr>
        <w:t xml:space="preserve"> autorizados para obra nueva y rehabilitación</w:t>
      </w:r>
      <w:r w:rsidR="00BB3C98" w:rsidRPr="00BB3C98">
        <w:rPr>
          <w:color w:val="auto"/>
          <w:sz w:val="22"/>
          <w:szCs w:val="22"/>
        </w:rPr>
        <w:t>, según las estadísticas de los Colegios de Arquitectos</w:t>
      </w:r>
    </w:p>
    <w:p w14:paraId="5DA3AC2B" w14:textId="676C5F53" w:rsidR="007D0068" w:rsidRPr="005A7393" w:rsidRDefault="00F423DE" w:rsidP="007D0068">
      <w:pPr>
        <w:pStyle w:val="Ttulo2"/>
        <w:numPr>
          <w:ilvl w:val="0"/>
          <w:numId w:val="2"/>
        </w:numPr>
        <w:ind w:left="567" w:hanging="567"/>
        <w:contextualSpacing/>
        <w:rPr>
          <w:rStyle w:val="Redonda"/>
          <w:color w:val="auto"/>
          <w:sz w:val="22"/>
          <w:szCs w:val="22"/>
        </w:rPr>
      </w:pPr>
      <w:r w:rsidRPr="00F423DE">
        <w:rPr>
          <w:color w:val="auto"/>
          <w:sz w:val="22"/>
        </w:rPr>
        <w:t>Por primera vez desde 2019, los mejores datos se concentran en el sector de la obra nueva, donde se han visado 72.0</w:t>
      </w:r>
      <w:r>
        <w:rPr>
          <w:color w:val="auto"/>
          <w:sz w:val="22"/>
        </w:rPr>
        <w:t>56</w:t>
      </w:r>
      <w:r w:rsidRPr="00F423DE">
        <w:rPr>
          <w:color w:val="auto"/>
          <w:sz w:val="22"/>
        </w:rPr>
        <w:t xml:space="preserve"> viviendas de nueva planta</w:t>
      </w:r>
      <w:r w:rsidR="00767199" w:rsidRPr="005A7393" w:rsidDel="00FA742F">
        <w:rPr>
          <w:rStyle w:val="Redonda"/>
          <w:color w:val="auto"/>
          <w:sz w:val="22"/>
          <w:szCs w:val="22"/>
        </w:rPr>
        <w:t xml:space="preserve"> </w:t>
      </w:r>
    </w:p>
    <w:p w14:paraId="5BEED9F7" w14:textId="6C95CA27" w:rsidR="00B5087E" w:rsidRPr="00F423DE" w:rsidRDefault="00FD4F4D" w:rsidP="00B5087E">
      <w:pPr>
        <w:pStyle w:val="Ttulo2"/>
        <w:numPr>
          <w:ilvl w:val="0"/>
          <w:numId w:val="2"/>
        </w:numPr>
        <w:ind w:left="567" w:hanging="567"/>
        <w:contextualSpacing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El</w:t>
      </w:r>
      <w:r w:rsidR="00F423DE" w:rsidRPr="00F423DE">
        <w:rPr>
          <w:color w:val="auto"/>
          <w:sz w:val="22"/>
          <w:szCs w:val="22"/>
        </w:rPr>
        <w:t xml:space="preserve"> número de viviendas </w:t>
      </w:r>
      <w:r w:rsidR="00334C94">
        <w:rPr>
          <w:color w:val="auto"/>
          <w:sz w:val="22"/>
          <w:szCs w:val="22"/>
        </w:rPr>
        <w:t xml:space="preserve">autorizadas para gran rehabilitación </w:t>
      </w:r>
      <w:r w:rsidR="00F423DE" w:rsidRPr="00F423DE">
        <w:rPr>
          <w:color w:val="auto"/>
          <w:sz w:val="22"/>
          <w:szCs w:val="22"/>
        </w:rPr>
        <w:t>retrocede un 8%</w:t>
      </w:r>
      <w:r>
        <w:rPr>
          <w:color w:val="auto"/>
          <w:sz w:val="22"/>
          <w:szCs w:val="22"/>
        </w:rPr>
        <w:t xml:space="preserve"> respecto a los primeros seis meses de 2025</w:t>
      </w:r>
      <w:r w:rsidR="00F423DE">
        <w:rPr>
          <w:color w:val="auto"/>
          <w:sz w:val="22"/>
          <w:szCs w:val="22"/>
        </w:rPr>
        <w:t>, situándose</w:t>
      </w:r>
      <w:r w:rsidR="00F423DE" w:rsidRPr="00F423DE">
        <w:rPr>
          <w:color w:val="auto"/>
          <w:sz w:val="22"/>
          <w:szCs w:val="22"/>
        </w:rPr>
        <w:t xml:space="preserve"> en 28.411 unidades</w:t>
      </w:r>
      <w:r w:rsidR="00334C94">
        <w:rPr>
          <w:color w:val="auto"/>
          <w:sz w:val="22"/>
          <w:szCs w:val="22"/>
        </w:rPr>
        <w:t>, si bien sigue estando en niveles históricos respecto a 2019</w:t>
      </w:r>
    </w:p>
    <w:p w14:paraId="35C2569D" w14:textId="72D26E15" w:rsidR="00B5087E" w:rsidRPr="00F423DE" w:rsidRDefault="006D7023" w:rsidP="00F423DE">
      <w:pPr>
        <w:pStyle w:val="Ttulo2"/>
        <w:numPr>
          <w:ilvl w:val="0"/>
          <w:numId w:val="2"/>
        </w:numPr>
        <w:ind w:left="567" w:hanging="567"/>
        <w:contextualSpacing/>
        <w:rPr>
          <w:color w:val="auto"/>
          <w:sz w:val="22"/>
          <w:szCs w:val="22"/>
        </w:rPr>
      </w:pPr>
      <w:r w:rsidRPr="00B5087E">
        <w:rPr>
          <w:rStyle w:val="Redonda"/>
          <w:color w:val="auto"/>
          <w:sz w:val="22"/>
          <w:szCs w:val="22"/>
        </w:rPr>
        <w:t xml:space="preserve">La </w:t>
      </w:r>
      <w:r w:rsidR="005748EA" w:rsidRPr="00B5087E">
        <w:rPr>
          <w:rStyle w:val="Redonda"/>
          <w:color w:val="auto"/>
          <w:sz w:val="22"/>
          <w:szCs w:val="22"/>
        </w:rPr>
        <w:t>presidenta del CSCAE</w:t>
      </w:r>
      <w:r w:rsidR="001F5B82" w:rsidRPr="00B5087E">
        <w:rPr>
          <w:rStyle w:val="Redonda"/>
          <w:color w:val="auto"/>
          <w:sz w:val="22"/>
          <w:szCs w:val="22"/>
        </w:rPr>
        <w:t xml:space="preserve"> </w:t>
      </w:r>
      <w:r w:rsidR="00F423DE">
        <w:rPr>
          <w:rStyle w:val="Redonda"/>
          <w:color w:val="auto"/>
          <w:sz w:val="22"/>
          <w:szCs w:val="22"/>
        </w:rPr>
        <w:t>considera los</w:t>
      </w:r>
      <w:r w:rsidR="00B5087E" w:rsidRPr="00B5087E">
        <w:rPr>
          <w:rStyle w:val="Redonda"/>
          <w:color w:val="auto"/>
          <w:sz w:val="22"/>
          <w:szCs w:val="22"/>
        </w:rPr>
        <w:t xml:space="preserve"> datos</w:t>
      </w:r>
      <w:r w:rsidR="00F423DE">
        <w:rPr>
          <w:rStyle w:val="Redonda"/>
          <w:color w:val="auto"/>
          <w:sz w:val="22"/>
          <w:szCs w:val="22"/>
        </w:rPr>
        <w:t xml:space="preserve"> globales</w:t>
      </w:r>
      <w:r w:rsidR="00F423DE">
        <w:rPr>
          <w:b/>
          <w:bCs/>
          <w:i/>
          <w:iCs/>
          <w:color w:val="auto"/>
          <w:sz w:val="22"/>
          <w:szCs w:val="22"/>
        </w:rPr>
        <w:t xml:space="preserve"> </w:t>
      </w:r>
      <w:r w:rsidR="00B5087E" w:rsidRPr="00F423DE">
        <w:rPr>
          <w:b/>
          <w:bCs/>
          <w:color w:val="auto"/>
          <w:sz w:val="22"/>
          <w:szCs w:val="22"/>
        </w:rPr>
        <w:t>“muy positivos en un contexto de escasez de vivienda”</w:t>
      </w:r>
      <w:r w:rsidR="00B5087E" w:rsidRPr="00F423DE">
        <w:rPr>
          <w:b/>
          <w:bCs/>
          <w:i/>
          <w:iCs/>
          <w:color w:val="auto"/>
          <w:sz w:val="22"/>
          <w:szCs w:val="22"/>
        </w:rPr>
        <w:t xml:space="preserve"> </w:t>
      </w:r>
      <w:r w:rsidR="00B5087E" w:rsidRPr="00F423DE">
        <w:rPr>
          <w:b/>
          <w:bCs/>
          <w:color w:val="auto"/>
          <w:sz w:val="22"/>
          <w:szCs w:val="22"/>
        </w:rPr>
        <w:t xml:space="preserve">y apela a </w:t>
      </w:r>
      <w:r w:rsidR="00B5087E" w:rsidRPr="00F423DE">
        <w:rPr>
          <w:rFonts w:eastAsia="Times New Roman" w:cstheme="minorHAnsi"/>
          <w:color w:val="auto"/>
          <w:sz w:val="22"/>
          <w:lang w:eastAsia="es-ES"/>
        </w:rPr>
        <w:t xml:space="preserve">“los poderes públicos y a las Administraciones Públicas, dentro de sus competencias, </w:t>
      </w:r>
      <w:r w:rsidR="00F423DE">
        <w:rPr>
          <w:rFonts w:eastAsia="Times New Roman" w:cstheme="minorHAnsi"/>
          <w:color w:val="auto"/>
          <w:sz w:val="22"/>
          <w:lang w:eastAsia="es-ES"/>
        </w:rPr>
        <w:t>para</w:t>
      </w:r>
      <w:r w:rsidR="00B5087E" w:rsidRPr="00F423DE">
        <w:rPr>
          <w:rFonts w:eastAsia="Times New Roman" w:cstheme="minorHAnsi"/>
          <w:color w:val="auto"/>
          <w:sz w:val="22"/>
          <w:lang w:eastAsia="es-ES"/>
        </w:rPr>
        <w:t xml:space="preserve"> mantener el pulso de un sector clave para dar respuesta a la principal preocupación de la población y adaptar el parque edificado y los entornos urbanos a los efectos de la emergencia climática</w:t>
      </w:r>
      <w:r w:rsidR="005C1A27">
        <w:rPr>
          <w:rFonts w:eastAsia="Times New Roman" w:cstheme="minorHAnsi"/>
          <w:color w:val="auto"/>
          <w:sz w:val="22"/>
          <w:lang w:eastAsia="es-ES"/>
        </w:rPr>
        <w:t xml:space="preserve"> y a los objetivos europeos”</w:t>
      </w:r>
      <w:r w:rsidR="00B5087E" w:rsidRPr="00F423DE">
        <w:rPr>
          <w:color w:val="auto"/>
          <w:sz w:val="22"/>
          <w:szCs w:val="22"/>
        </w:rPr>
        <w:t xml:space="preserve"> </w:t>
      </w:r>
    </w:p>
    <w:p w14:paraId="7B26DC36" w14:textId="7B81A40A" w:rsidR="00D43F15" w:rsidRPr="005A7393" w:rsidRDefault="00D43F15" w:rsidP="00B5087E">
      <w:pPr>
        <w:pStyle w:val="Ttulo2"/>
        <w:contextualSpacing/>
        <w:rPr>
          <w:rStyle w:val="Redonda"/>
          <w:color w:val="auto"/>
          <w:sz w:val="22"/>
          <w:szCs w:val="22"/>
        </w:rPr>
      </w:pPr>
    </w:p>
    <w:p w14:paraId="592A3C90" w14:textId="77777777" w:rsidR="00654671" w:rsidRPr="005A7393" w:rsidRDefault="00654671" w:rsidP="000B77C9">
      <w:pPr>
        <w:rPr>
          <w:rStyle w:val="Fuerte"/>
          <w:sz w:val="22"/>
        </w:rPr>
      </w:pPr>
    </w:p>
    <w:p w14:paraId="6EEF9F2D" w14:textId="62295EC3" w:rsidR="00D049FB" w:rsidRPr="005A7393" w:rsidRDefault="00D049FB" w:rsidP="000B77C9">
      <w:pPr>
        <w:rPr>
          <w:rStyle w:val="Fuerte"/>
          <w:sz w:val="22"/>
        </w:rPr>
      </w:pPr>
      <w:r w:rsidRPr="005A7393">
        <w:rPr>
          <w:rStyle w:val="Fuerte"/>
          <w:sz w:val="22"/>
        </w:rPr>
        <w:t xml:space="preserve">Madrid, </w:t>
      </w:r>
      <w:r w:rsidR="00FD4F4D">
        <w:rPr>
          <w:rStyle w:val="Fuerte"/>
          <w:sz w:val="22"/>
        </w:rPr>
        <w:t>15</w:t>
      </w:r>
      <w:r w:rsidR="004C224F" w:rsidRPr="005A7393">
        <w:rPr>
          <w:rStyle w:val="Fuerte"/>
          <w:sz w:val="22"/>
        </w:rPr>
        <w:t xml:space="preserve"> </w:t>
      </w:r>
      <w:r w:rsidRPr="005A7393">
        <w:rPr>
          <w:rStyle w:val="Fuerte"/>
          <w:sz w:val="22"/>
        </w:rPr>
        <w:t xml:space="preserve">de </w:t>
      </w:r>
      <w:r w:rsidR="001A2762" w:rsidRPr="005A7393">
        <w:rPr>
          <w:rStyle w:val="Fuerte"/>
          <w:sz w:val="22"/>
        </w:rPr>
        <w:t>septiembre</w:t>
      </w:r>
      <w:r w:rsidR="0002564F" w:rsidRPr="005A7393">
        <w:rPr>
          <w:rStyle w:val="Fuerte"/>
          <w:sz w:val="22"/>
        </w:rPr>
        <w:t xml:space="preserve"> </w:t>
      </w:r>
      <w:r w:rsidRPr="005A7393">
        <w:rPr>
          <w:rStyle w:val="Fuerte"/>
          <w:sz w:val="22"/>
        </w:rPr>
        <w:t>de 202</w:t>
      </w:r>
      <w:r w:rsidR="00946C6B">
        <w:rPr>
          <w:rStyle w:val="Fuerte"/>
          <w:sz w:val="22"/>
        </w:rPr>
        <w:t>6</w:t>
      </w:r>
      <w:r w:rsidR="00F00650" w:rsidRPr="005A7393">
        <w:rPr>
          <w:rStyle w:val="Fuerte"/>
          <w:sz w:val="22"/>
        </w:rPr>
        <w:t>.</w:t>
      </w:r>
    </w:p>
    <w:p w14:paraId="332D6798" w14:textId="77777777" w:rsidR="00997AE7" w:rsidRDefault="00936C64" w:rsidP="00997AE7">
      <w:pPr>
        <w:rPr>
          <w:rFonts w:eastAsia="Times New Roman" w:cstheme="minorHAnsi"/>
          <w:sz w:val="22"/>
          <w:lang w:eastAsia="es-ES"/>
        </w:rPr>
      </w:pPr>
      <w:r w:rsidRPr="007A02B4">
        <w:rPr>
          <w:rFonts w:cstheme="minorHAnsi"/>
          <w:sz w:val="22"/>
        </w:rPr>
        <w:t xml:space="preserve">El fuerte impulso con el que la economía española </w:t>
      </w:r>
      <w:r w:rsidR="00D92C42">
        <w:rPr>
          <w:rFonts w:cstheme="minorHAnsi"/>
          <w:sz w:val="22"/>
        </w:rPr>
        <w:t>inició</w:t>
      </w:r>
      <w:r w:rsidRPr="007A02B4">
        <w:rPr>
          <w:rFonts w:cstheme="minorHAnsi"/>
          <w:sz w:val="22"/>
        </w:rPr>
        <w:t xml:space="preserve"> 2026 se ha traducido</w:t>
      </w:r>
      <w:r w:rsidR="00F4099E" w:rsidRPr="007A02B4">
        <w:rPr>
          <w:rFonts w:cstheme="minorHAnsi"/>
          <w:sz w:val="22"/>
        </w:rPr>
        <w:t>, en el sector de la edificación, en un crecimiento del 18%</w:t>
      </w:r>
      <w:r w:rsidR="007A02B4">
        <w:rPr>
          <w:rFonts w:cstheme="minorHAnsi"/>
          <w:sz w:val="22"/>
        </w:rPr>
        <w:t xml:space="preserve"> registrado</w:t>
      </w:r>
      <w:r w:rsidR="00F4099E" w:rsidRPr="007A02B4">
        <w:rPr>
          <w:rFonts w:cstheme="minorHAnsi"/>
          <w:sz w:val="22"/>
        </w:rPr>
        <w:t xml:space="preserve"> entre los meses de enero y junio. De acuerdo con las estadísticas de visado de los Colegios de Arquitectos, </w:t>
      </w:r>
      <w:r w:rsidR="007A02B4">
        <w:rPr>
          <w:rFonts w:cstheme="minorHAnsi"/>
          <w:sz w:val="22"/>
        </w:rPr>
        <w:t>en este periodo</w:t>
      </w:r>
      <w:r w:rsidR="00F4099E" w:rsidRPr="007A02B4">
        <w:rPr>
          <w:rFonts w:cstheme="minorHAnsi"/>
          <w:sz w:val="22"/>
        </w:rPr>
        <w:t xml:space="preserve"> se han visado 20.987.620 metros cuadrados</w:t>
      </w:r>
      <w:r w:rsidR="00D92C42">
        <w:rPr>
          <w:rFonts w:cstheme="minorHAnsi"/>
          <w:sz w:val="22"/>
        </w:rPr>
        <w:t xml:space="preserve"> (en adelante, m2)</w:t>
      </w:r>
      <w:r w:rsidR="007A02B4" w:rsidRPr="007A02B4">
        <w:rPr>
          <w:rFonts w:cstheme="minorHAnsi"/>
          <w:sz w:val="22"/>
        </w:rPr>
        <w:t xml:space="preserve">. </w:t>
      </w:r>
      <w:r w:rsidR="007A02B4">
        <w:rPr>
          <w:rFonts w:cstheme="minorHAnsi"/>
          <w:sz w:val="22"/>
        </w:rPr>
        <w:t>So</w:t>
      </w:r>
      <w:r w:rsidR="007A02B4" w:rsidRPr="007A02B4">
        <w:rPr>
          <w:rFonts w:cstheme="minorHAnsi"/>
          <w:sz w:val="22"/>
        </w:rPr>
        <w:t xml:space="preserve">n casi 3,2 millones más que en </w:t>
      </w:r>
      <w:r w:rsidR="007A02B4">
        <w:rPr>
          <w:rFonts w:cstheme="minorHAnsi"/>
          <w:sz w:val="22"/>
        </w:rPr>
        <w:t>los primeros seis meses</w:t>
      </w:r>
      <w:r w:rsidR="007A02B4" w:rsidRPr="007A02B4">
        <w:rPr>
          <w:rFonts w:cstheme="minorHAnsi"/>
          <w:sz w:val="22"/>
        </w:rPr>
        <w:t xml:space="preserve"> del año pasado</w:t>
      </w:r>
      <w:r w:rsidR="007A02B4">
        <w:rPr>
          <w:rFonts w:cstheme="minorHAnsi"/>
          <w:sz w:val="22"/>
        </w:rPr>
        <w:t xml:space="preserve"> y</w:t>
      </w:r>
      <w:r w:rsidR="007A02B4" w:rsidRPr="007A02B4">
        <w:rPr>
          <w:rFonts w:cstheme="minorHAnsi"/>
          <w:sz w:val="22"/>
        </w:rPr>
        <w:t xml:space="preserve"> el mejor dato de la serie </w:t>
      </w:r>
      <w:r w:rsidR="007A02B4" w:rsidRPr="007A02B4">
        <w:rPr>
          <w:rFonts w:cstheme="minorHAnsi"/>
          <w:sz w:val="22"/>
        </w:rPr>
        <w:lastRenderedPageBreak/>
        <w:t xml:space="preserve">desde 2019, cuando se autorizaron </w:t>
      </w:r>
      <w:r w:rsidR="007A02B4" w:rsidRPr="007A02B4">
        <w:rPr>
          <w:rFonts w:eastAsia="Times New Roman" w:cstheme="minorHAnsi"/>
          <w:sz w:val="22"/>
          <w:lang w:eastAsia="es-ES"/>
        </w:rPr>
        <w:t>16.958.677 m2.</w:t>
      </w:r>
      <w:r w:rsidR="007A02B4">
        <w:rPr>
          <w:rFonts w:eastAsia="Times New Roman" w:cstheme="minorHAnsi"/>
          <w:sz w:val="22"/>
          <w:lang w:eastAsia="es-ES"/>
        </w:rPr>
        <w:t xml:space="preserve"> </w:t>
      </w:r>
      <w:r w:rsidR="00D92C42">
        <w:rPr>
          <w:rFonts w:eastAsia="Times New Roman" w:cstheme="minorHAnsi"/>
          <w:sz w:val="22"/>
          <w:lang w:eastAsia="es-ES"/>
        </w:rPr>
        <w:t xml:space="preserve">Este crecimiento de la superficie visada </w:t>
      </w:r>
      <w:r w:rsidR="00FB19B2">
        <w:rPr>
          <w:rFonts w:eastAsia="Times New Roman" w:cstheme="minorHAnsi"/>
          <w:sz w:val="22"/>
          <w:lang w:eastAsia="es-ES"/>
        </w:rPr>
        <w:t>se ha producido</w:t>
      </w:r>
      <w:r w:rsidR="00D92C42">
        <w:rPr>
          <w:rFonts w:eastAsia="Times New Roman" w:cstheme="minorHAnsi"/>
          <w:sz w:val="22"/>
          <w:lang w:eastAsia="es-ES"/>
        </w:rPr>
        <w:t xml:space="preserve"> tanto en obra nueva, como en rehabilitación</w:t>
      </w:r>
      <w:r w:rsidR="00B60C27">
        <w:rPr>
          <w:rFonts w:eastAsia="Times New Roman" w:cstheme="minorHAnsi"/>
          <w:sz w:val="22"/>
          <w:lang w:eastAsia="es-ES"/>
        </w:rPr>
        <w:t xml:space="preserve">. </w:t>
      </w:r>
    </w:p>
    <w:p w14:paraId="3321F1CD" w14:textId="62646500" w:rsidR="00B60C27" w:rsidRDefault="00C96898" w:rsidP="00997AE7">
      <w:pPr>
        <w:rPr>
          <w:rFonts w:eastAsia="Times New Roman" w:cstheme="minorHAnsi"/>
          <w:sz w:val="22"/>
          <w:lang w:eastAsia="es-ES"/>
        </w:rPr>
      </w:pPr>
      <w:r>
        <w:rPr>
          <w:rFonts w:eastAsia="Times New Roman" w:cstheme="minorHAnsi"/>
          <w:sz w:val="22"/>
          <w:lang w:eastAsia="es-ES"/>
        </w:rPr>
        <w:t xml:space="preserve">Para la presidenta del Consejo Superior de los Colegios de Arquitectos de España (CSCAE), </w:t>
      </w:r>
      <w:r w:rsidRPr="00997AE7">
        <w:rPr>
          <w:rFonts w:eastAsia="Times New Roman" w:cstheme="minorHAnsi"/>
          <w:b/>
          <w:bCs/>
          <w:sz w:val="22"/>
          <w:lang w:eastAsia="es-ES"/>
        </w:rPr>
        <w:t>Marta Vall-llossera</w:t>
      </w:r>
      <w:r>
        <w:rPr>
          <w:rFonts w:eastAsia="Times New Roman" w:cstheme="minorHAnsi"/>
          <w:sz w:val="22"/>
          <w:lang w:eastAsia="es-ES"/>
        </w:rPr>
        <w:t>: “Se trata de datos muy positivos en un contexto de escasez de vivienda</w:t>
      </w:r>
      <w:r w:rsidR="00997AE7">
        <w:rPr>
          <w:rFonts w:eastAsia="Times New Roman" w:cstheme="minorHAnsi"/>
          <w:sz w:val="22"/>
          <w:lang w:eastAsia="es-ES"/>
        </w:rPr>
        <w:t>, como el que sufre el país</w:t>
      </w:r>
      <w:r>
        <w:rPr>
          <w:rFonts w:eastAsia="Times New Roman" w:cstheme="minorHAnsi"/>
          <w:sz w:val="22"/>
          <w:lang w:eastAsia="es-ES"/>
        </w:rPr>
        <w:t xml:space="preserve">”. </w:t>
      </w:r>
      <w:r w:rsidR="00B60C27">
        <w:rPr>
          <w:rFonts w:eastAsia="Times New Roman" w:cstheme="minorHAnsi"/>
          <w:sz w:val="22"/>
          <w:lang w:eastAsia="es-ES"/>
        </w:rPr>
        <w:t xml:space="preserve">No obstante, como </w:t>
      </w:r>
      <w:r>
        <w:rPr>
          <w:rFonts w:eastAsia="Times New Roman" w:cstheme="minorHAnsi"/>
          <w:sz w:val="22"/>
          <w:lang w:eastAsia="es-ES"/>
        </w:rPr>
        <w:t xml:space="preserve">también </w:t>
      </w:r>
      <w:r w:rsidR="00B60C27">
        <w:rPr>
          <w:rFonts w:eastAsia="Times New Roman" w:cstheme="minorHAnsi"/>
          <w:sz w:val="22"/>
          <w:lang w:eastAsia="es-ES"/>
        </w:rPr>
        <w:t>advierte</w:t>
      </w:r>
      <w:r>
        <w:rPr>
          <w:rFonts w:eastAsia="Times New Roman" w:cstheme="minorHAnsi"/>
          <w:sz w:val="22"/>
          <w:lang w:eastAsia="es-ES"/>
        </w:rPr>
        <w:t>: “L</w:t>
      </w:r>
      <w:r w:rsidR="00D92C42">
        <w:rPr>
          <w:rFonts w:eastAsia="Times New Roman" w:cstheme="minorHAnsi"/>
          <w:sz w:val="22"/>
          <w:lang w:eastAsia="es-ES"/>
        </w:rPr>
        <w:t>a incertidumbre geopolítica actual</w:t>
      </w:r>
      <w:r w:rsidR="00FB19B2">
        <w:rPr>
          <w:rFonts w:eastAsia="Times New Roman" w:cstheme="minorHAnsi"/>
          <w:sz w:val="22"/>
          <w:lang w:eastAsia="es-ES"/>
        </w:rPr>
        <w:t xml:space="preserve"> y</w:t>
      </w:r>
      <w:r w:rsidR="00D92C42">
        <w:rPr>
          <w:rFonts w:eastAsia="Times New Roman" w:cstheme="minorHAnsi"/>
          <w:sz w:val="22"/>
          <w:lang w:eastAsia="es-ES"/>
        </w:rPr>
        <w:t xml:space="preserve"> las consecuencias derivadas de </w:t>
      </w:r>
      <w:r w:rsidR="00FB19B2">
        <w:rPr>
          <w:rFonts w:eastAsia="Times New Roman" w:cstheme="minorHAnsi"/>
          <w:sz w:val="22"/>
          <w:lang w:eastAsia="es-ES"/>
        </w:rPr>
        <w:t xml:space="preserve">conflictos como los de Ucrania o la guerra de Irán, que ha llevado al Banco Central Europeo a </w:t>
      </w:r>
      <w:r>
        <w:rPr>
          <w:rFonts w:eastAsia="Times New Roman" w:cstheme="minorHAnsi"/>
          <w:sz w:val="22"/>
          <w:lang w:eastAsia="es-ES"/>
        </w:rPr>
        <w:t>una segunda subida de los tipos de interés en tres meses,</w:t>
      </w:r>
      <w:r w:rsidR="00D92C42">
        <w:rPr>
          <w:rFonts w:eastAsia="Times New Roman" w:cstheme="minorHAnsi"/>
          <w:sz w:val="22"/>
          <w:lang w:eastAsia="es-ES"/>
        </w:rPr>
        <w:t xml:space="preserve"> </w:t>
      </w:r>
      <w:r w:rsidR="00FB19B2">
        <w:rPr>
          <w:rFonts w:eastAsia="Times New Roman" w:cstheme="minorHAnsi"/>
          <w:sz w:val="22"/>
          <w:lang w:eastAsia="es-ES"/>
        </w:rPr>
        <w:t>o</w:t>
      </w:r>
      <w:r w:rsidR="00D92C42">
        <w:rPr>
          <w:rFonts w:eastAsia="Times New Roman" w:cstheme="minorHAnsi"/>
          <w:sz w:val="22"/>
          <w:lang w:eastAsia="es-ES"/>
        </w:rPr>
        <w:t xml:space="preserve"> la finalización de los fondos europeos </w:t>
      </w:r>
      <w:r w:rsidR="00D92C42" w:rsidRPr="00B60C27">
        <w:rPr>
          <w:rFonts w:eastAsia="Times New Roman" w:cstheme="minorHAnsi"/>
          <w:i/>
          <w:iCs/>
          <w:sz w:val="22"/>
          <w:lang w:eastAsia="es-ES"/>
        </w:rPr>
        <w:t xml:space="preserve">Next </w:t>
      </w:r>
      <w:proofErr w:type="spellStart"/>
      <w:r w:rsidR="00D92C42" w:rsidRPr="00B60C27">
        <w:rPr>
          <w:rFonts w:eastAsia="Times New Roman" w:cstheme="minorHAnsi"/>
          <w:i/>
          <w:iCs/>
          <w:sz w:val="22"/>
          <w:lang w:eastAsia="es-ES"/>
        </w:rPr>
        <w:t>Generation</w:t>
      </w:r>
      <w:proofErr w:type="spellEnd"/>
      <w:r w:rsidR="00D92C42">
        <w:rPr>
          <w:rFonts w:eastAsia="Times New Roman" w:cstheme="minorHAnsi"/>
          <w:sz w:val="22"/>
          <w:lang w:eastAsia="es-ES"/>
        </w:rPr>
        <w:t>, entre otros factores,</w:t>
      </w:r>
      <w:r w:rsidR="00B60C27">
        <w:rPr>
          <w:rFonts w:eastAsia="Times New Roman" w:cstheme="minorHAnsi"/>
          <w:sz w:val="22"/>
          <w:lang w:eastAsia="es-ES"/>
        </w:rPr>
        <w:t xml:space="preserve"> </w:t>
      </w:r>
      <w:r w:rsidR="00D92C42">
        <w:rPr>
          <w:rFonts w:eastAsia="Times New Roman" w:cstheme="minorHAnsi"/>
          <w:sz w:val="22"/>
          <w:lang w:eastAsia="es-ES"/>
        </w:rPr>
        <w:t xml:space="preserve">obligan a </w:t>
      </w:r>
      <w:r w:rsidR="00B60C27">
        <w:rPr>
          <w:rFonts w:eastAsia="Times New Roman" w:cstheme="minorHAnsi"/>
          <w:sz w:val="22"/>
          <w:lang w:eastAsia="es-ES"/>
        </w:rPr>
        <w:t>ser cautos</w:t>
      </w:r>
      <w:r w:rsidR="00D92C42">
        <w:rPr>
          <w:rFonts w:eastAsia="Times New Roman" w:cstheme="minorHAnsi"/>
          <w:sz w:val="22"/>
          <w:lang w:eastAsia="es-ES"/>
        </w:rPr>
        <w:t xml:space="preserve"> respecto a la evolución </w:t>
      </w:r>
      <w:r w:rsidR="00B60C27">
        <w:rPr>
          <w:rFonts w:eastAsia="Times New Roman" w:cstheme="minorHAnsi"/>
          <w:sz w:val="22"/>
          <w:lang w:eastAsia="es-ES"/>
        </w:rPr>
        <w:t>de</w:t>
      </w:r>
      <w:r w:rsidR="00D92C42">
        <w:rPr>
          <w:rFonts w:eastAsia="Times New Roman" w:cstheme="minorHAnsi"/>
          <w:sz w:val="22"/>
          <w:lang w:eastAsia="es-ES"/>
        </w:rPr>
        <w:t xml:space="preserve"> los próximos meses</w:t>
      </w:r>
      <w:r>
        <w:rPr>
          <w:rFonts w:eastAsia="Times New Roman" w:cstheme="minorHAnsi"/>
          <w:sz w:val="22"/>
          <w:lang w:eastAsia="es-ES"/>
        </w:rPr>
        <w:t>”</w:t>
      </w:r>
      <w:r w:rsidR="00B60C27">
        <w:rPr>
          <w:rFonts w:eastAsia="Times New Roman" w:cstheme="minorHAnsi"/>
          <w:sz w:val="22"/>
          <w:lang w:eastAsia="es-ES"/>
        </w:rPr>
        <w:t xml:space="preserve">. </w:t>
      </w:r>
      <w:r>
        <w:rPr>
          <w:rFonts w:eastAsia="Times New Roman" w:cstheme="minorHAnsi"/>
          <w:sz w:val="22"/>
          <w:lang w:eastAsia="es-ES"/>
        </w:rPr>
        <w:t xml:space="preserve">Por eso, </w:t>
      </w:r>
      <w:r w:rsidR="00997AE7">
        <w:rPr>
          <w:rFonts w:eastAsia="Times New Roman" w:cstheme="minorHAnsi"/>
          <w:sz w:val="22"/>
          <w:lang w:eastAsia="es-ES"/>
        </w:rPr>
        <w:t>apela a</w:t>
      </w:r>
      <w:r w:rsidR="00D92C42">
        <w:rPr>
          <w:rFonts w:eastAsia="Times New Roman" w:cstheme="minorHAnsi"/>
          <w:sz w:val="22"/>
          <w:lang w:eastAsia="es-ES"/>
        </w:rPr>
        <w:t xml:space="preserve"> </w:t>
      </w:r>
      <w:r w:rsidR="00997AE7">
        <w:rPr>
          <w:rFonts w:eastAsia="Times New Roman" w:cstheme="minorHAnsi"/>
          <w:sz w:val="22"/>
          <w:lang w:eastAsia="es-ES"/>
        </w:rPr>
        <w:t>“</w:t>
      </w:r>
      <w:r>
        <w:rPr>
          <w:rFonts w:eastAsia="Times New Roman" w:cstheme="minorHAnsi"/>
          <w:sz w:val="22"/>
          <w:lang w:eastAsia="es-ES"/>
        </w:rPr>
        <w:t xml:space="preserve">los poderes públicos y </w:t>
      </w:r>
      <w:r w:rsidR="00997AE7">
        <w:rPr>
          <w:rFonts w:eastAsia="Times New Roman" w:cstheme="minorHAnsi"/>
          <w:sz w:val="22"/>
          <w:lang w:eastAsia="es-ES"/>
        </w:rPr>
        <w:t>a</w:t>
      </w:r>
      <w:r>
        <w:rPr>
          <w:rFonts w:eastAsia="Times New Roman" w:cstheme="minorHAnsi"/>
          <w:sz w:val="22"/>
          <w:lang w:eastAsia="es-ES"/>
        </w:rPr>
        <w:t xml:space="preserve"> las Administraciones Públicas a todos los niveles, cada un</w:t>
      </w:r>
      <w:r w:rsidR="00997AE7">
        <w:rPr>
          <w:rFonts w:eastAsia="Times New Roman" w:cstheme="minorHAnsi"/>
          <w:sz w:val="22"/>
          <w:lang w:eastAsia="es-ES"/>
        </w:rPr>
        <w:t>a</w:t>
      </w:r>
      <w:r>
        <w:rPr>
          <w:rFonts w:eastAsia="Times New Roman" w:cstheme="minorHAnsi"/>
          <w:sz w:val="22"/>
          <w:lang w:eastAsia="es-ES"/>
        </w:rPr>
        <w:t xml:space="preserve"> dentro de sus competencias,</w:t>
      </w:r>
      <w:r w:rsidR="00D92C42">
        <w:rPr>
          <w:rFonts w:eastAsia="Times New Roman" w:cstheme="minorHAnsi"/>
          <w:sz w:val="22"/>
          <w:lang w:eastAsia="es-ES"/>
        </w:rPr>
        <w:t xml:space="preserve"> para mantener el pulso de un sector </w:t>
      </w:r>
      <w:r>
        <w:rPr>
          <w:rFonts w:eastAsia="Times New Roman" w:cstheme="minorHAnsi"/>
          <w:sz w:val="22"/>
          <w:lang w:eastAsia="es-ES"/>
        </w:rPr>
        <w:t>clave</w:t>
      </w:r>
      <w:r w:rsidR="00D92C42">
        <w:rPr>
          <w:rFonts w:eastAsia="Times New Roman" w:cstheme="minorHAnsi"/>
          <w:sz w:val="22"/>
          <w:lang w:eastAsia="es-ES"/>
        </w:rPr>
        <w:t xml:space="preserve"> </w:t>
      </w:r>
      <w:r w:rsidR="00B5087E">
        <w:rPr>
          <w:rFonts w:eastAsia="Times New Roman" w:cstheme="minorHAnsi"/>
          <w:sz w:val="22"/>
          <w:lang w:eastAsia="es-ES"/>
        </w:rPr>
        <w:t>dar respuesta</w:t>
      </w:r>
      <w:r w:rsidR="00D92C42">
        <w:rPr>
          <w:rFonts w:eastAsia="Times New Roman" w:cstheme="minorHAnsi"/>
          <w:sz w:val="22"/>
          <w:lang w:eastAsia="es-ES"/>
        </w:rPr>
        <w:t xml:space="preserve"> a la principal preocupación de </w:t>
      </w:r>
      <w:r>
        <w:rPr>
          <w:rFonts w:eastAsia="Times New Roman" w:cstheme="minorHAnsi"/>
          <w:sz w:val="22"/>
          <w:lang w:eastAsia="es-ES"/>
        </w:rPr>
        <w:t xml:space="preserve">la población y </w:t>
      </w:r>
      <w:r w:rsidR="00997AE7">
        <w:rPr>
          <w:rFonts w:eastAsia="Times New Roman" w:cstheme="minorHAnsi"/>
          <w:sz w:val="22"/>
          <w:lang w:eastAsia="es-ES"/>
        </w:rPr>
        <w:t xml:space="preserve">para </w:t>
      </w:r>
      <w:r>
        <w:rPr>
          <w:rFonts w:eastAsia="Times New Roman" w:cstheme="minorHAnsi"/>
          <w:sz w:val="22"/>
          <w:lang w:eastAsia="es-ES"/>
        </w:rPr>
        <w:t xml:space="preserve">adaptar el parque edificado </w:t>
      </w:r>
      <w:r w:rsidR="00FD37AC">
        <w:rPr>
          <w:rFonts w:eastAsia="Times New Roman" w:cstheme="minorHAnsi"/>
          <w:sz w:val="22"/>
          <w:lang w:eastAsia="es-ES"/>
        </w:rPr>
        <w:t xml:space="preserve">y </w:t>
      </w:r>
      <w:r w:rsidR="00997AE7">
        <w:rPr>
          <w:rFonts w:eastAsia="Times New Roman" w:cstheme="minorHAnsi"/>
          <w:sz w:val="22"/>
          <w:lang w:eastAsia="es-ES"/>
        </w:rPr>
        <w:t>los</w:t>
      </w:r>
      <w:r w:rsidR="00FD37AC">
        <w:rPr>
          <w:rFonts w:eastAsia="Times New Roman" w:cstheme="minorHAnsi"/>
          <w:sz w:val="22"/>
          <w:lang w:eastAsia="es-ES"/>
        </w:rPr>
        <w:t xml:space="preserve"> entornos urbanos </w:t>
      </w:r>
      <w:r>
        <w:rPr>
          <w:rFonts w:eastAsia="Times New Roman" w:cstheme="minorHAnsi"/>
          <w:sz w:val="22"/>
          <w:lang w:eastAsia="es-ES"/>
        </w:rPr>
        <w:t xml:space="preserve">a los efectos de la emergencia climática, que son evidentes en </w:t>
      </w:r>
      <w:r w:rsidR="00FD37AC">
        <w:rPr>
          <w:rFonts w:eastAsia="Times New Roman" w:cstheme="minorHAnsi"/>
          <w:sz w:val="22"/>
          <w:lang w:eastAsia="es-ES"/>
        </w:rPr>
        <w:t>nuestro país</w:t>
      </w:r>
      <w:r w:rsidR="005C1A27">
        <w:rPr>
          <w:rFonts w:eastAsia="Times New Roman" w:cstheme="minorHAnsi"/>
          <w:sz w:val="22"/>
          <w:lang w:eastAsia="es-ES"/>
        </w:rPr>
        <w:t>, y a los objetivos europeos de descarbonización</w:t>
      </w:r>
      <w:r>
        <w:rPr>
          <w:rFonts w:eastAsia="Times New Roman" w:cstheme="minorHAnsi"/>
          <w:sz w:val="22"/>
          <w:lang w:eastAsia="es-ES"/>
        </w:rPr>
        <w:t>”</w:t>
      </w:r>
      <w:r w:rsidR="00B60C27">
        <w:rPr>
          <w:rFonts w:eastAsia="Times New Roman" w:cstheme="minorHAnsi"/>
          <w:sz w:val="22"/>
          <w:lang w:eastAsia="es-ES"/>
        </w:rPr>
        <w:t xml:space="preserve">. </w:t>
      </w:r>
    </w:p>
    <w:p w14:paraId="19A36A0D" w14:textId="03E5D76F" w:rsidR="00A940D7" w:rsidRDefault="00A940D7" w:rsidP="00A940D7"/>
    <w:p w14:paraId="76C38495" w14:textId="07A39730" w:rsidR="00FD37AC" w:rsidRDefault="00FD37AC" w:rsidP="00FD37AC">
      <w:pPr>
        <w:pStyle w:val="Ttulo3"/>
      </w:pPr>
      <w:r>
        <w:t>Gran rehabilitación</w:t>
      </w:r>
      <w:r w:rsidR="003B5589">
        <w:t>: número de viviendas y superficie</w:t>
      </w:r>
      <w:r>
        <w:t xml:space="preserve"> </w:t>
      </w:r>
    </w:p>
    <w:p w14:paraId="228CFF71" w14:textId="167032EE" w:rsidR="00086665" w:rsidRDefault="00997AE7" w:rsidP="00FD37AC">
      <w:bookmarkStart w:id="0" w:name="_Hlk176520544"/>
      <w:r>
        <w:t>Tras</w:t>
      </w:r>
      <w:r w:rsidR="00FD37AC">
        <w:t xml:space="preserve"> </w:t>
      </w:r>
      <w:r w:rsidR="00134400">
        <w:t>un 2024 y un 2025</w:t>
      </w:r>
      <w:r w:rsidR="00FD37AC">
        <w:t xml:space="preserve"> en los que el </w:t>
      </w:r>
      <w:r w:rsidR="00FD37AC" w:rsidRPr="00134400">
        <w:rPr>
          <w:b/>
          <w:bCs/>
        </w:rPr>
        <w:t>número de viviendas visadas</w:t>
      </w:r>
      <w:r w:rsidR="00134400">
        <w:rPr>
          <w:b/>
          <w:bCs/>
        </w:rPr>
        <w:t xml:space="preserve"> para gran rehabilitación</w:t>
      </w:r>
      <w:r w:rsidR="00FD37AC">
        <w:t xml:space="preserve"> en el primer semestre había superado las 30.000, en los primeros</w:t>
      </w:r>
      <w:r w:rsidR="00134400">
        <w:t xml:space="preserve"> seis</w:t>
      </w:r>
      <w:r w:rsidR="00FD37AC">
        <w:t xml:space="preserve"> meses de 2026 esta cifra </w:t>
      </w:r>
      <w:r w:rsidR="00134400">
        <w:t>ha retrocedido ligeramente hasta situarse</w:t>
      </w:r>
      <w:r w:rsidR="00FD37AC">
        <w:t xml:space="preserve"> en 28.411 unidades</w:t>
      </w:r>
      <w:r>
        <w:t xml:space="preserve">. Son 2.560 viviendas menos que </w:t>
      </w:r>
      <w:r w:rsidR="00FD37AC">
        <w:t>representa</w:t>
      </w:r>
      <w:r>
        <w:t>n</w:t>
      </w:r>
      <w:r w:rsidR="00FD37AC">
        <w:t xml:space="preserve"> una caída del 8% respecto al mismo periodo de 2025. </w:t>
      </w:r>
      <w:r>
        <w:t xml:space="preserve">El dato es </w:t>
      </w:r>
      <w:r w:rsidR="00086665">
        <w:t>significativo</w:t>
      </w:r>
      <w:r>
        <w:t xml:space="preserve"> porque, </w:t>
      </w:r>
      <w:r w:rsidR="00F9710E">
        <w:t>aun marcando récords respecto a</w:t>
      </w:r>
      <w:r w:rsidR="00FD4F4D">
        <w:t>l</w:t>
      </w:r>
      <w:r w:rsidR="00F9710E">
        <w:t xml:space="preserve"> año anterior a la pandemia, </w:t>
      </w:r>
      <w:r w:rsidR="00086665">
        <w:t>de acuerdo con las previsiones del Ministerio para la Transición Ecológica y el Reto Demográfico</w:t>
      </w:r>
      <w:r>
        <w:t xml:space="preserve">, </w:t>
      </w:r>
      <w:r w:rsidR="00086665">
        <w:t>este año tendrían que rehabilitarse 112.000 viviendas para alcanzar los objetivos contemplados en</w:t>
      </w:r>
      <w:r w:rsidR="00356ABA">
        <w:t xml:space="preserve"> </w:t>
      </w:r>
      <w:r w:rsidR="00086665">
        <w:t xml:space="preserve">el Plan Nacional Integrado de Energía y Clima (PNIEC). </w:t>
      </w:r>
    </w:p>
    <w:p w14:paraId="2E92FA62" w14:textId="73F216DB" w:rsidR="00086665" w:rsidRDefault="00086665" w:rsidP="00FD37AC">
      <w:r>
        <w:t xml:space="preserve">En un país con una escasa cultura del mantenimiento y la conservación de los edificios, donde el 90% de los inmuebles que están en pie hoy en día seguirá existiendo en 2050 y con un 75% de edificios que no cumplen los estándares adecuados de eficiencia energética, </w:t>
      </w:r>
      <w:r w:rsidR="00356ABA">
        <w:t>la presidenta del</w:t>
      </w:r>
      <w:r w:rsidR="004028FC">
        <w:t xml:space="preserve"> CSCAE </w:t>
      </w:r>
      <w:r w:rsidR="00356ABA">
        <w:t>señala: “Es</w:t>
      </w:r>
      <w:r w:rsidR="004028FC">
        <w:t xml:space="preserve"> imprescindible que </w:t>
      </w:r>
      <w:r>
        <w:t xml:space="preserve">el Plan Estatal de Vivienda 2026-2030 </w:t>
      </w:r>
      <w:r w:rsidR="00356ABA">
        <w:t xml:space="preserve">coja el relevo de los fondos europeos e, incluso, impulse </w:t>
      </w:r>
      <w:r w:rsidR="004028FC">
        <w:t xml:space="preserve">la inercia conseguida </w:t>
      </w:r>
      <w:r w:rsidR="00356ABA">
        <w:t xml:space="preserve">estos años </w:t>
      </w:r>
      <w:r w:rsidR="00356ABA">
        <w:lastRenderedPageBreak/>
        <w:t>para transformar uno de los parques edificados más envejecidos de Europa y dar soporte a un sector estratégico en la transición hacia un país más sostenible y saludable”.</w:t>
      </w:r>
      <w:r w:rsidR="004028FC">
        <w:t xml:space="preserve"> </w:t>
      </w:r>
      <w:r>
        <w:t xml:space="preserve">  </w:t>
      </w:r>
    </w:p>
    <w:p w14:paraId="3517C31A" w14:textId="70F8D30B" w:rsidR="00356ABA" w:rsidRDefault="00356ABA" w:rsidP="00356ABA">
      <w:r>
        <w:t xml:space="preserve">Aunque el número de viviendas visadas para gran rehabilitación cae, la </w:t>
      </w:r>
      <w:r w:rsidRPr="00134400">
        <w:rPr>
          <w:b/>
          <w:bCs/>
        </w:rPr>
        <w:t>superficie visada con carácter residencial</w:t>
      </w:r>
      <w:r>
        <w:t xml:space="preserve"> se ha incrementado un 13%, pasando de 2.742.140 m2 a 3.103.351 m2</w:t>
      </w:r>
      <w:r w:rsidRPr="00326642">
        <w:t xml:space="preserve">. </w:t>
      </w:r>
      <w:r w:rsidR="00FD4F4D" w:rsidRPr="00326642">
        <w:t xml:space="preserve">Esta diferencia </w:t>
      </w:r>
      <w:r w:rsidR="002F1CDF" w:rsidRPr="00326642">
        <w:t>responde a</w:t>
      </w:r>
      <w:r w:rsidR="00FD4F4D" w:rsidRPr="00326642">
        <w:t xml:space="preserve"> intervenciones parciales y en zonas comunes destinadas a mejorar la eficiencia energética</w:t>
      </w:r>
      <w:r w:rsidR="002F1CDF" w:rsidRPr="00326642">
        <w:t xml:space="preserve"> de los edificios</w:t>
      </w:r>
      <w:r w:rsidR="00FD4F4D" w:rsidRPr="00326642">
        <w:t xml:space="preserve">, como cubiertas o fachadas. </w:t>
      </w:r>
      <w:r w:rsidR="002F1CDF" w:rsidRPr="00326642">
        <w:t>Denotan</w:t>
      </w:r>
      <w:r w:rsidR="00FD4F4D" w:rsidRPr="00326642">
        <w:t xml:space="preserve"> la influencia de los programas de ayuda a la rehabilitación impulsados dentro del Plan de Recuperación, Transformación y Resiliencia con cargo al mecanismo </w:t>
      </w:r>
      <w:r w:rsidR="00FD4F4D" w:rsidRPr="00326642">
        <w:rPr>
          <w:i/>
          <w:iCs/>
        </w:rPr>
        <w:t xml:space="preserve">Next </w:t>
      </w:r>
      <w:proofErr w:type="spellStart"/>
      <w:r w:rsidR="00FD4F4D" w:rsidRPr="00326642">
        <w:rPr>
          <w:i/>
          <w:iCs/>
        </w:rPr>
        <w:t>Generation</w:t>
      </w:r>
      <w:proofErr w:type="spellEnd"/>
      <w:r w:rsidR="00FD4F4D" w:rsidRPr="00326642">
        <w:rPr>
          <w:i/>
          <w:iCs/>
        </w:rPr>
        <w:t xml:space="preserve"> EU</w:t>
      </w:r>
      <w:r w:rsidR="002F1CDF" w:rsidRPr="00326642">
        <w:t xml:space="preserve"> y</w:t>
      </w:r>
      <w:r w:rsidR="00FD4F4D" w:rsidRPr="00326642">
        <w:t xml:space="preserve"> un mayor sentido de comunidad.</w:t>
      </w:r>
      <w:r w:rsidR="00FD4F4D">
        <w:t xml:space="preserve"> </w:t>
      </w:r>
      <w:r>
        <w:t>E</w:t>
      </w:r>
      <w:r w:rsidR="00FD4F4D">
        <w:t>l volumen de superficie visada para gran rehabilitación en este primer semestre del año</w:t>
      </w:r>
      <w:r>
        <w:t xml:space="preserve"> es el mejor dato de la serie histórica</w:t>
      </w:r>
      <w:r w:rsidR="00FD4F4D">
        <w:t>. R</w:t>
      </w:r>
      <w:r>
        <w:t>epresenta un aumento del 126% respecto al mismo periodo de 2019</w:t>
      </w:r>
      <w:r w:rsidR="00FD4F4D">
        <w:t>.</w:t>
      </w:r>
      <w:r>
        <w:t xml:space="preserve"> </w:t>
      </w:r>
    </w:p>
    <w:p w14:paraId="05E8A5B1" w14:textId="4436C07A" w:rsidR="00FD37AC" w:rsidRDefault="00F9710E" w:rsidP="00FD37AC">
      <w:r>
        <w:t xml:space="preserve">En cuanto a la </w:t>
      </w:r>
      <w:r w:rsidRPr="005E6AD5">
        <w:rPr>
          <w:b/>
          <w:bCs/>
        </w:rPr>
        <w:t>superficie visada de carácter no residencial</w:t>
      </w:r>
      <w:r>
        <w:t>, en el primer semestre ha aumentado un 10,36%, pasando de 2.106.840 m2 a 2.325.129 m2. Respecto al año anterior a la pandemia, el incremento es del 25,7%. No obstante, se trata de operaciones puntuales y, a diferencia del sector residencial, no sirven para marcar tendencias.</w:t>
      </w:r>
    </w:p>
    <w:p w14:paraId="5141B883" w14:textId="365ABF9C" w:rsidR="00F9710E" w:rsidRDefault="00F9710E" w:rsidP="00FD37AC">
      <w:r>
        <w:t xml:space="preserve">De forma conjunta, con 5.428.474 m2, la </w:t>
      </w:r>
      <w:r w:rsidRPr="005E6AD5">
        <w:rPr>
          <w:b/>
          <w:bCs/>
        </w:rPr>
        <w:t>superficie visada para gran rehabilitación</w:t>
      </w:r>
      <w:r>
        <w:t xml:space="preserve"> se ha incrementado en un 12% respecto al mismo periodo del año pasado.</w:t>
      </w:r>
    </w:p>
    <w:bookmarkEnd w:id="0"/>
    <w:p w14:paraId="3E054A41" w14:textId="77777777" w:rsidR="00A940D7" w:rsidRDefault="00A940D7" w:rsidP="000B77C9">
      <w:pPr>
        <w:spacing w:before="0"/>
      </w:pPr>
    </w:p>
    <w:p w14:paraId="7E3A0D89" w14:textId="27ADE24F" w:rsidR="00F9710E" w:rsidRDefault="00F9710E" w:rsidP="00F9710E">
      <w:pPr>
        <w:pStyle w:val="Ttulo3"/>
      </w:pPr>
      <w:r>
        <w:t>Obra nueva</w:t>
      </w:r>
      <w:r w:rsidR="003B5589">
        <w:t>: número de viviendas y superficie</w:t>
      </w:r>
      <w:r>
        <w:t xml:space="preserve"> </w:t>
      </w:r>
    </w:p>
    <w:p w14:paraId="5D96C4FD" w14:textId="269D85D2" w:rsidR="00CC6E24" w:rsidRDefault="005B51C3" w:rsidP="00923D36">
      <w:r>
        <w:rPr>
          <w:sz w:val="22"/>
        </w:rPr>
        <w:t>P</w:t>
      </w:r>
      <w:r w:rsidR="00923D36">
        <w:rPr>
          <w:sz w:val="22"/>
        </w:rPr>
        <w:t xml:space="preserve">or primera vez desde 2019, los mejores datos se concentran en el sector de la obra nueva. </w:t>
      </w:r>
      <w:bookmarkStart w:id="1" w:name="_Hlk176521100"/>
      <w:r w:rsidR="00CC6E24">
        <w:rPr>
          <w:sz w:val="22"/>
        </w:rPr>
        <w:t>Esto ha sido así porque, e</w:t>
      </w:r>
      <w:r w:rsidR="00CC6E24" w:rsidRPr="00CC6E24">
        <w:rPr>
          <w:sz w:val="22"/>
        </w:rPr>
        <w:t>n general, se han identificado promociones</w:t>
      </w:r>
      <w:r w:rsidR="00CC6E24">
        <w:rPr>
          <w:sz w:val="22"/>
        </w:rPr>
        <w:t xml:space="preserve"> con un número significativo</w:t>
      </w:r>
      <w:r w:rsidR="00CC6E24" w:rsidRPr="00CC6E24">
        <w:rPr>
          <w:sz w:val="22"/>
        </w:rPr>
        <w:t xml:space="preserve"> de</w:t>
      </w:r>
      <w:r w:rsidR="00CC6E24">
        <w:rPr>
          <w:sz w:val="22"/>
        </w:rPr>
        <w:t xml:space="preserve"> viviendas </w:t>
      </w:r>
      <w:r w:rsidR="00CC6E24" w:rsidRPr="00CC6E24">
        <w:rPr>
          <w:sz w:val="22"/>
        </w:rPr>
        <w:t>en todo el territorio nacional.</w:t>
      </w:r>
      <w:r w:rsidR="00CC6E24">
        <w:rPr>
          <w:sz w:val="22"/>
        </w:rPr>
        <w:t xml:space="preserve"> </w:t>
      </w:r>
      <w:r w:rsidR="00923D36">
        <w:t xml:space="preserve">En </w:t>
      </w:r>
      <w:r w:rsidR="00CC6E24">
        <w:t xml:space="preserve">consecuencia, en </w:t>
      </w:r>
      <w:r w:rsidR="00923D36">
        <w:t xml:space="preserve">el primer semestre del año, se han visado 12.682 </w:t>
      </w:r>
      <w:r w:rsidR="00F423DE">
        <w:t>unidades</w:t>
      </w:r>
      <w:r w:rsidR="00923D36">
        <w:t xml:space="preserve"> más </w:t>
      </w:r>
      <w:r>
        <w:t>de nueva planta</w:t>
      </w:r>
      <w:r w:rsidR="00923D36">
        <w:t xml:space="preserve"> que en el mismo periodo de 2025</w:t>
      </w:r>
      <w:r w:rsidR="00CC6E24">
        <w:t xml:space="preserve"> hasta alcanzar las</w:t>
      </w:r>
      <w:r w:rsidR="00923D36">
        <w:t xml:space="preserve"> 72.056</w:t>
      </w:r>
      <w:r w:rsidR="00F423DE">
        <w:t xml:space="preserve"> viviendas</w:t>
      </w:r>
      <w:r w:rsidR="00923D36">
        <w:t xml:space="preserve">, </w:t>
      </w:r>
      <w:r w:rsidR="00CC6E24">
        <w:t xml:space="preserve">lo </w:t>
      </w:r>
      <w:r w:rsidR="00923D36">
        <w:t xml:space="preserve">que representa un </w:t>
      </w:r>
      <w:r w:rsidR="00CC6E24">
        <w:t xml:space="preserve">incremento del </w:t>
      </w:r>
      <w:r w:rsidR="00923D36">
        <w:t>21,36%. Respecto al año 2019, e</w:t>
      </w:r>
      <w:r w:rsidR="00CC6E24">
        <w:t>ste aumento es d</w:t>
      </w:r>
      <w:r w:rsidR="00923D36">
        <w:t xml:space="preserve">el 36%. </w:t>
      </w:r>
    </w:p>
    <w:p w14:paraId="1A290227" w14:textId="3F1C434D" w:rsidR="00923D36" w:rsidRPr="00923D36" w:rsidRDefault="00B5087E" w:rsidP="00923D36">
      <w:pPr>
        <w:rPr>
          <w:sz w:val="22"/>
        </w:rPr>
      </w:pPr>
      <w:r>
        <w:t>C</w:t>
      </w:r>
      <w:r w:rsidR="005B51C3">
        <w:t>on un déficit acumulado de 750.000 unidades entre los años 2021 y 2025, según los últimos cálculos del Banco de España, estos datos solo pueden ser</w:t>
      </w:r>
      <w:r w:rsidR="00923D36">
        <w:t xml:space="preserve"> bienvenido</w:t>
      </w:r>
      <w:r w:rsidR="005B51C3">
        <w:t xml:space="preserve">s, </w:t>
      </w:r>
      <w:r w:rsidR="00CC6E24">
        <w:t>si bien</w:t>
      </w:r>
      <w:r w:rsidR="00923D36">
        <w:t xml:space="preserve"> hay que recordar </w:t>
      </w:r>
      <w:r w:rsidR="005B51C3">
        <w:t>que</w:t>
      </w:r>
      <w:r w:rsidR="00923D36">
        <w:t xml:space="preserve"> el número </w:t>
      </w:r>
      <w:r w:rsidR="005B51C3">
        <w:t>d</w:t>
      </w:r>
      <w:r w:rsidR="00923D36">
        <w:t xml:space="preserve">e hogares que </w:t>
      </w:r>
      <w:r w:rsidR="005B51C3">
        <w:t>s</w:t>
      </w:r>
      <w:r w:rsidR="00923D36">
        <w:t>e crean sigue siendo mu</w:t>
      </w:r>
      <w:r w:rsidR="005B51C3">
        <w:t>y superior</w:t>
      </w:r>
      <w:r w:rsidR="00923D36">
        <w:t xml:space="preserve"> al </w:t>
      </w:r>
      <w:r w:rsidR="005B51C3">
        <w:t>d</w:t>
      </w:r>
      <w:r w:rsidR="00923D36">
        <w:t xml:space="preserve">e </w:t>
      </w:r>
      <w:r w:rsidR="005B51C3">
        <w:t>la creación de vivienda</w:t>
      </w:r>
      <w:r>
        <w:t>. P</w:t>
      </w:r>
      <w:r w:rsidR="00CC6E24">
        <w:t>or lo tanto, de una forma planificada, que atienda a la realidad</w:t>
      </w:r>
      <w:r>
        <w:t xml:space="preserve"> objetiva</w:t>
      </w:r>
      <w:r w:rsidR="00CC6E24">
        <w:t xml:space="preserve"> de cada territorio</w:t>
      </w:r>
      <w:r w:rsidR="00F423DE">
        <w:t xml:space="preserve"> y en relación con el conjunto</w:t>
      </w:r>
      <w:r w:rsidR="00CC6E24">
        <w:t xml:space="preserve">, es preciso estimular la construcción </w:t>
      </w:r>
      <w:r w:rsidR="00CC6E24">
        <w:lastRenderedPageBreak/>
        <w:t xml:space="preserve">de vivienda nueva y la </w:t>
      </w:r>
      <w:r w:rsidR="00923D36">
        <w:t>rehabilitación</w:t>
      </w:r>
      <w:r w:rsidR="00CC6E24">
        <w:t xml:space="preserve"> </w:t>
      </w:r>
      <w:r w:rsidR="00923D36">
        <w:t xml:space="preserve">en cualquiera </w:t>
      </w:r>
      <w:r w:rsidR="005B51C3">
        <w:t>d</w:t>
      </w:r>
      <w:r w:rsidR="00923D36">
        <w:t>e lo</w:t>
      </w:r>
      <w:r w:rsidR="005B51C3">
        <w:t>s</w:t>
      </w:r>
      <w:r w:rsidR="00923D36">
        <w:t xml:space="preserve"> regímenes posible</w:t>
      </w:r>
      <w:r w:rsidR="005B51C3">
        <w:t>s</w:t>
      </w:r>
      <w:r w:rsidR="00923D36">
        <w:t xml:space="preserve"> (alquiler, vivienda </w:t>
      </w:r>
      <w:r w:rsidR="005B51C3">
        <w:t>pública o libre</w:t>
      </w:r>
      <w:r w:rsidR="00923D36">
        <w:t>).</w:t>
      </w:r>
    </w:p>
    <w:p w14:paraId="7FB7E20B" w14:textId="42C75AB5" w:rsidR="00923D36" w:rsidRDefault="00923D36" w:rsidP="00923D36">
      <w:r>
        <w:t>En correlación con e</w:t>
      </w:r>
      <w:r w:rsidR="005B51C3">
        <w:t>l número de viviendas</w:t>
      </w:r>
      <w:r>
        <w:t xml:space="preserve">, la </w:t>
      </w:r>
      <w:r w:rsidRPr="00991319">
        <w:rPr>
          <w:b/>
          <w:bCs/>
        </w:rPr>
        <w:t>superficie total visada para obra nueva</w:t>
      </w:r>
      <w:r>
        <w:t xml:space="preserve"> entre enero y junio de 2026 ha aumentado un 20%, pasando de 12.953.08 m2 a 15.559.152 m2. Se han autorizado 2,6 millones más de m</w:t>
      </w:r>
      <w:r w:rsidR="005B51C3">
        <w:t>etros cuadrados</w:t>
      </w:r>
      <w:r>
        <w:t>. Por primera vez, desde 2019, todos los meses del primer semestre de 2026 han registrado mejores datos que sus predecesores</w:t>
      </w:r>
      <w:r w:rsidR="005B51C3">
        <w:t xml:space="preserve"> en años anteriores</w:t>
      </w:r>
      <w:r>
        <w:t xml:space="preserve">, a excepción </w:t>
      </w:r>
      <w:r w:rsidR="005B51C3">
        <w:t>d</w:t>
      </w:r>
      <w:r>
        <w:t>e los primeros me</w:t>
      </w:r>
      <w:r w:rsidR="005B51C3">
        <w:t>s</w:t>
      </w:r>
      <w:r>
        <w:t>e</w:t>
      </w:r>
      <w:r w:rsidR="005B51C3">
        <w:t>s</w:t>
      </w:r>
      <w:r>
        <w:t xml:space="preserve"> de 2019, justo antes de que la pandemia de Covid19 paralizara prácticamente la economía mundial. E</w:t>
      </w:r>
      <w:r w:rsidR="005B51C3">
        <w:t>l</w:t>
      </w:r>
      <w:r>
        <w:t xml:space="preserve"> incremento</w:t>
      </w:r>
      <w:r w:rsidR="005B51C3">
        <w:t xml:space="preserve"> registrado en el primer semestre de este año es del 13%</w:t>
      </w:r>
      <w:r>
        <w:t xml:space="preserve"> en </w:t>
      </w:r>
      <w:r w:rsidR="005B51C3">
        <w:t>comparación</w:t>
      </w:r>
      <w:r>
        <w:t xml:space="preserve"> con el </w:t>
      </w:r>
      <w:r w:rsidR="005B51C3">
        <w:t>mismo periodo de</w:t>
      </w:r>
      <w:r>
        <w:t xml:space="preserve"> 2019</w:t>
      </w:r>
      <w:r w:rsidR="003B5589">
        <w:t>.</w:t>
      </w:r>
      <w:r>
        <w:t xml:space="preserve"> </w:t>
      </w:r>
    </w:p>
    <w:p w14:paraId="4C67AD04" w14:textId="53270480" w:rsidR="00923D36" w:rsidRDefault="00923D36" w:rsidP="00923D36">
      <w:r>
        <w:t xml:space="preserve">De forma desagregada, el aumento en el número </w:t>
      </w:r>
      <w:r w:rsidR="003B5589">
        <w:t>d</w:t>
      </w:r>
      <w:r>
        <w:t xml:space="preserve">e viviendas visadas para obra nueva se traduce en un incremento </w:t>
      </w:r>
      <w:r w:rsidR="00326642">
        <w:t>d</w:t>
      </w:r>
      <w:r>
        <w:t xml:space="preserve">el 19% de la </w:t>
      </w:r>
      <w:r w:rsidRPr="00991319">
        <w:rPr>
          <w:b/>
          <w:bCs/>
        </w:rPr>
        <w:t>superficie residencial</w:t>
      </w:r>
      <w:r>
        <w:t xml:space="preserve"> autorizada, con cerca de 1,9 millones de metros cuadrados visados más. </w:t>
      </w:r>
      <w:r w:rsidR="003B5589">
        <w:t>R</w:t>
      </w:r>
      <w:r>
        <w:t>especto al año anterior a la pandemia, el aumento e</w:t>
      </w:r>
      <w:r w:rsidR="003B5589">
        <w:t>s</w:t>
      </w:r>
      <w:r>
        <w:t xml:space="preserve"> </w:t>
      </w:r>
      <w:r w:rsidR="00326642">
        <w:t>d</w:t>
      </w:r>
      <w:r>
        <w:t xml:space="preserve">el 18%. </w:t>
      </w:r>
      <w:r w:rsidR="003B5589">
        <w:t>Se</w:t>
      </w:r>
      <w:r>
        <w:t xml:space="preserve"> ha pa</w:t>
      </w:r>
      <w:r w:rsidR="003B5589">
        <w:t>s</w:t>
      </w:r>
      <w:r>
        <w:t>a</w:t>
      </w:r>
      <w:r w:rsidR="003B5589">
        <w:t>d</w:t>
      </w:r>
      <w:r>
        <w:t xml:space="preserve">o </w:t>
      </w:r>
      <w:r w:rsidR="003B5589">
        <w:t>d</w:t>
      </w:r>
      <w:r>
        <w:t>e 9.890.067 m2 a 11.777.126m2.</w:t>
      </w:r>
    </w:p>
    <w:p w14:paraId="40655762" w14:textId="1AE48DE0" w:rsidR="00923D36" w:rsidRDefault="00923D36" w:rsidP="00923D36">
      <w:r>
        <w:t xml:space="preserve">En cuanto a la </w:t>
      </w:r>
      <w:r w:rsidRPr="00991319">
        <w:rPr>
          <w:b/>
          <w:bCs/>
        </w:rPr>
        <w:t>superficie no residencial</w:t>
      </w:r>
      <w:r>
        <w:t xml:space="preserve">, los datos también son positivos, con un incremento </w:t>
      </w:r>
      <w:r w:rsidR="00326642">
        <w:t>d</w:t>
      </w:r>
      <w:r>
        <w:t>el 23,47%, pasando de 3.063.015 m</w:t>
      </w:r>
      <w:r w:rsidR="003B5589">
        <w:t>2</w:t>
      </w:r>
      <w:r>
        <w:t xml:space="preserve"> visados en el primer </w:t>
      </w:r>
      <w:r w:rsidR="003B5589">
        <w:t>se</w:t>
      </w:r>
      <w:r>
        <w:t xml:space="preserve">mestre de 2025 a 3.782.032 en </w:t>
      </w:r>
      <w:r w:rsidR="003B5589">
        <w:t>el mismo periodo</w:t>
      </w:r>
      <w:r>
        <w:t xml:space="preserve"> de este año. </w:t>
      </w:r>
      <w:r w:rsidR="00CC6E24" w:rsidRPr="00CC6E24">
        <w:t>En Madrid y Cataluña</w:t>
      </w:r>
      <w:r w:rsidR="00CC6E24">
        <w:t>,</w:t>
      </w:r>
      <w:r w:rsidR="00CC6E24" w:rsidRPr="00CC6E24">
        <w:t xml:space="preserve"> los usos no residenciales han incrementado la superficie visada </w:t>
      </w:r>
      <w:r w:rsidR="00CC6E24">
        <w:t>de manera notable gracias a</w:t>
      </w:r>
      <w:r w:rsidR="00CC6E24" w:rsidRPr="00CC6E24">
        <w:t xml:space="preserve"> proyectos de nuevos equipamientos.</w:t>
      </w:r>
      <w:r w:rsidR="00CC6E24">
        <w:t xml:space="preserve"> Los tres millones de metros cuadrados visados representan el mayor volumen de superficie autorizada de carácter no residencial</w:t>
      </w:r>
      <w:r>
        <w:t xml:space="preserve"> desde 2019, aunque</w:t>
      </w:r>
      <w:r w:rsidR="00CC6E24">
        <w:t xml:space="preserve"> el dato no sirve para marcar tendencias porque está</w:t>
      </w:r>
      <w:r>
        <w:t xml:space="preserve"> supeditado a operaciones comerciales puntuales. </w:t>
      </w:r>
    </w:p>
    <w:bookmarkEnd w:id="1"/>
    <w:p w14:paraId="5676E893" w14:textId="179C4D08" w:rsidR="00440EE2" w:rsidRPr="003B5589" w:rsidRDefault="00923D36" w:rsidP="003B5589">
      <w:r>
        <w:t xml:space="preserve">   </w:t>
      </w:r>
    </w:p>
    <w:p w14:paraId="6CABB493" w14:textId="791D9478" w:rsidR="00440EE2" w:rsidRPr="005A7393" w:rsidRDefault="00C13686" w:rsidP="000B77C9">
      <w:pPr>
        <w:pStyle w:val="Ttulo3"/>
        <w:rPr>
          <w:sz w:val="22"/>
          <w:szCs w:val="22"/>
        </w:rPr>
      </w:pPr>
      <w:r w:rsidRPr="005A7393">
        <w:t>El visado por territorios</w:t>
      </w:r>
      <w:r w:rsidR="0094017E" w:rsidRPr="005A7393">
        <w:t xml:space="preserve"> </w:t>
      </w:r>
    </w:p>
    <w:p w14:paraId="5260D8DD" w14:textId="35AE42EA" w:rsidR="003B5589" w:rsidRDefault="003B5589" w:rsidP="003B5589">
      <w:r>
        <w:t xml:space="preserve">A nivel territorial, los datos de la </w:t>
      </w:r>
      <w:r w:rsidRPr="003B5589">
        <w:rPr>
          <w:b/>
          <w:bCs/>
        </w:rPr>
        <w:t>superficie visada para obra nueva y rehabilitación</w:t>
      </w:r>
      <w:r>
        <w:t xml:space="preserve"> en el primer semestre del año son positivos en casi todas las comunidades, a excepción de las Islas Canarias, donde se ha registrado un ligero retroceso del 2,5%. Los mayores incrementos </w:t>
      </w:r>
      <w:r w:rsidR="009B25D0">
        <w:t xml:space="preserve">(superiores al 25%) </w:t>
      </w:r>
      <w:r>
        <w:t>corresponden a Islas Baleares</w:t>
      </w:r>
      <w:r w:rsidR="009B25D0">
        <w:t xml:space="preserve"> (</w:t>
      </w:r>
      <w:r w:rsidR="002C7773">
        <w:t>+</w:t>
      </w:r>
      <w:r w:rsidR="009B25D0">
        <w:t>55,39%)</w:t>
      </w:r>
      <w:r>
        <w:t>, Aragón</w:t>
      </w:r>
      <w:r w:rsidR="009B25D0">
        <w:t xml:space="preserve"> (</w:t>
      </w:r>
      <w:r w:rsidR="002C7773">
        <w:t>+</w:t>
      </w:r>
      <w:r w:rsidR="009B25D0">
        <w:t>34,79%)</w:t>
      </w:r>
      <w:r>
        <w:t>, País Vasco</w:t>
      </w:r>
      <w:r w:rsidR="009B25D0">
        <w:t xml:space="preserve"> (</w:t>
      </w:r>
      <w:r w:rsidR="002C7773">
        <w:t>+</w:t>
      </w:r>
      <w:r w:rsidR="009B25D0">
        <w:t>31,39%)</w:t>
      </w:r>
      <w:r>
        <w:t xml:space="preserve"> y Madrid</w:t>
      </w:r>
      <w:r w:rsidR="009B25D0">
        <w:t xml:space="preserve"> (</w:t>
      </w:r>
      <w:r w:rsidR="002C7773">
        <w:t>+</w:t>
      </w:r>
      <w:r w:rsidR="009B25D0">
        <w:t>26,46%). Les siguen, por este orden, Murcia (</w:t>
      </w:r>
      <w:r w:rsidR="002C7773">
        <w:t>+</w:t>
      </w:r>
      <w:r w:rsidR="009B25D0">
        <w:t>20,82%), Cantabria (</w:t>
      </w:r>
      <w:r w:rsidR="002C7773">
        <w:t>+</w:t>
      </w:r>
      <w:r w:rsidR="009B25D0">
        <w:t>20,77%), La Rioja (</w:t>
      </w:r>
      <w:r w:rsidR="002C7773">
        <w:t>+</w:t>
      </w:r>
      <w:r w:rsidR="009B25D0">
        <w:t>17,02%), Andalucía (</w:t>
      </w:r>
      <w:r w:rsidR="002C7773">
        <w:t>+</w:t>
      </w:r>
      <w:r w:rsidR="009B25D0">
        <w:t xml:space="preserve">16,52%), </w:t>
      </w:r>
      <w:r w:rsidR="002C7773">
        <w:t>Extremadura (+13,89%),</w:t>
      </w:r>
      <w:r w:rsidR="008F6745">
        <w:t xml:space="preserve"> Navarra (+13,10%),</w:t>
      </w:r>
      <w:r w:rsidR="002C7773">
        <w:t xml:space="preserve"> Castilla y León (+12,94%), Cataluña (+9,69%), Comunidad Valenciana (+7,31%), Asturias (+7,13%), Castilla-La Mancha (+4,51%) y Galicia (+3,32%).</w:t>
      </w:r>
      <w:r w:rsidR="009B25D0">
        <w:t xml:space="preserve"> </w:t>
      </w:r>
    </w:p>
    <w:p w14:paraId="0025CB3E" w14:textId="77777777" w:rsidR="00BF1FF8" w:rsidRDefault="00344B86" w:rsidP="002C7773">
      <w:pPr>
        <w:spacing w:before="0"/>
        <w:rPr>
          <w:sz w:val="22"/>
        </w:rPr>
      </w:pPr>
      <w:r w:rsidRPr="005A7393">
        <w:rPr>
          <w:sz w:val="22"/>
        </w:rPr>
        <w:lastRenderedPageBreak/>
        <w:t xml:space="preserve">En cuanto a la </w:t>
      </w:r>
      <w:r w:rsidRPr="005A7393">
        <w:rPr>
          <w:b/>
          <w:bCs/>
          <w:sz w:val="22"/>
        </w:rPr>
        <w:t>superficie visada para rehabilitación</w:t>
      </w:r>
      <w:r w:rsidRPr="005A7393">
        <w:rPr>
          <w:sz w:val="22"/>
        </w:rPr>
        <w:t xml:space="preserve"> </w:t>
      </w:r>
      <w:r w:rsidR="002C7773" w:rsidRPr="00BF1FF8">
        <w:rPr>
          <w:b/>
          <w:bCs/>
          <w:sz w:val="22"/>
        </w:rPr>
        <w:t xml:space="preserve">de carácter </w:t>
      </w:r>
      <w:r w:rsidRPr="00BF1FF8">
        <w:rPr>
          <w:b/>
          <w:bCs/>
          <w:sz w:val="22"/>
        </w:rPr>
        <w:t>residencial</w:t>
      </w:r>
      <w:r w:rsidR="008F6745">
        <w:rPr>
          <w:sz w:val="22"/>
        </w:rPr>
        <w:t xml:space="preserve">, el primer semestre del año ha sido positivo para la mayoría de las regiones. Las afortunadas con los mejores datos son Islas Canarias (+115,24%), Islas Baleares (+57,7%), Aragón (+47,65%) y Castilla y León (+36,4%). También ha aumentado en Murcia (+25,4%), Extremadura (+15,67%), Galicia (+10,39%), País Vasco (+13,09%), Cantabria (+6,88%), Castilla-La Mancha (+5,99%), Andalucía (+5,11%), Madrid (+0,45%) y Navarra (+0,4%). Ha caído, sin embargo, en </w:t>
      </w:r>
      <w:r w:rsidR="00BF1FF8">
        <w:rPr>
          <w:sz w:val="22"/>
        </w:rPr>
        <w:t xml:space="preserve">La Rioja (-47,13%), Asturias (-9,77%), Comunidad Valenciana (-5,52%) y Cataluña (-3,48%). </w:t>
      </w:r>
    </w:p>
    <w:p w14:paraId="5A13DDB5" w14:textId="280A75F5" w:rsidR="00CC6E24" w:rsidRPr="00CC6E24" w:rsidRDefault="00BF1FF8" w:rsidP="00CC6E24">
      <w:pPr>
        <w:spacing w:before="0"/>
        <w:rPr>
          <w:sz w:val="22"/>
        </w:rPr>
      </w:pPr>
      <w:r>
        <w:rPr>
          <w:sz w:val="22"/>
        </w:rPr>
        <w:t>En</w:t>
      </w:r>
      <w:r w:rsidR="00344B86" w:rsidRPr="005A7393">
        <w:rPr>
          <w:sz w:val="22"/>
        </w:rPr>
        <w:t xml:space="preserve"> lo que respecta a la </w:t>
      </w:r>
      <w:r w:rsidR="00344B86" w:rsidRPr="005A7393">
        <w:rPr>
          <w:b/>
          <w:bCs/>
          <w:sz w:val="22"/>
        </w:rPr>
        <w:t xml:space="preserve">superficie visada para </w:t>
      </w:r>
      <w:r>
        <w:rPr>
          <w:b/>
          <w:bCs/>
          <w:sz w:val="22"/>
        </w:rPr>
        <w:t>obra nueva</w:t>
      </w:r>
      <w:r w:rsidR="00344B86" w:rsidRPr="005A7393">
        <w:rPr>
          <w:b/>
          <w:bCs/>
          <w:sz w:val="22"/>
        </w:rPr>
        <w:t xml:space="preserve"> residencial</w:t>
      </w:r>
      <w:r>
        <w:rPr>
          <w:sz w:val="22"/>
        </w:rPr>
        <w:t xml:space="preserve"> se ha incrementado en todas las regiones, menos en Madrid (-8,15%) y Extremadura (-3,23%). En el resto de las comunidades autónomas, se han registrado incrementos superiores al 50% en el País Vasco (+99%), Islas Baleares (+79,09%) y La Rioja (+66,97%). </w:t>
      </w:r>
      <w:r w:rsidR="00CC6E24">
        <w:rPr>
          <w:sz w:val="22"/>
        </w:rPr>
        <w:t xml:space="preserve">En el caso de Islas Baleares, cabe señalar </w:t>
      </w:r>
      <w:r w:rsidR="00CC6E24" w:rsidRPr="00CC6E24">
        <w:rPr>
          <w:sz w:val="22"/>
        </w:rPr>
        <w:t>el impacto de la Ley 7/24</w:t>
      </w:r>
      <w:r w:rsidR="00CC6E24">
        <w:rPr>
          <w:sz w:val="22"/>
        </w:rPr>
        <w:t>,</w:t>
      </w:r>
      <w:r w:rsidR="00CC6E24" w:rsidRPr="00CC6E24">
        <w:rPr>
          <w:sz w:val="22"/>
        </w:rPr>
        <w:t xml:space="preserve"> de noviembre de 2024</w:t>
      </w:r>
      <w:r w:rsidR="00CC6E24">
        <w:rPr>
          <w:sz w:val="22"/>
        </w:rPr>
        <w:t>,</w:t>
      </w:r>
      <w:r w:rsidR="00CC6E24" w:rsidRPr="00CC6E24">
        <w:rPr>
          <w:sz w:val="22"/>
        </w:rPr>
        <w:t xml:space="preserve"> de legalización extraordinaria de edificaciones, construcciones, instalaciones y usos existentes en suelo rústico.</w:t>
      </w:r>
    </w:p>
    <w:p w14:paraId="4EEAB97B" w14:textId="472D467D" w:rsidR="00344B86" w:rsidRPr="00BF1FF8" w:rsidRDefault="00BF1FF8" w:rsidP="00BF1FF8">
      <w:pPr>
        <w:spacing w:before="0"/>
        <w:rPr>
          <w:rStyle w:val="Redonda"/>
          <w:sz w:val="22"/>
        </w:rPr>
      </w:pPr>
      <w:r>
        <w:rPr>
          <w:sz w:val="22"/>
        </w:rPr>
        <w:t xml:space="preserve">En Aragón, el aumento ha sido del 46,77%. Le siguen Cantabria (+38,66%), Andalucía (31,64%), Islas Canarias (24,51%), Comunidad Valenciana (+19,75%), Castilla y León (+16,76%), Navarra (+16,65%), Asturias (+16,22%), Castilla-La Mancha (+5,77%), Galicia (+5,12%) y Cataluña (+0,89%).   </w:t>
      </w:r>
    </w:p>
    <w:p w14:paraId="7C78F42E" w14:textId="50BB604C" w:rsidR="006D7023" w:rsidRPr="00A60CFC" w:rsidRDefault="006D7023" w:rsidP="00344B86">
      <w:pPr>
        <w:spacing w:before="0"/>
        <w:ind w:firstLine="720"/>
        <w:rPr>
          <w:rStyle w:val="Redonda"/>
          <w:sz w:val="22"/>
        </w:rPr>
      </w:pPr>
    </w:p>
    <w:sectPr w:rsidR="006D7023" w:rsidRPr="00A60CFC" w:rsidSect="0001148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 w:code="9"/>
      <w:pgMar w:top="1985" w:right="1418" w:bottom="3119" w:left="1418" w:header="851" w:footer="851" w:gutter="0"/>
      <w:pgNumType w:start="0"/>
      <w:cols w:space="567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CE46B7" w14:textId="77777777" w:rsidR="00EB2DCF" w:rsidRDefault="00EB2DCF" w:rsidP="00911AA3">
      <w:r>
        <w:separator/>
      </w:r>
    </w:p>
  </w:endnote>
  <w:endnote w:type="continuationSeparator" w:id="0">
    <w:p w14:paraId="33A9A6F2" w14:textId="77777777" w:rsidR="00EB2DCF" w:rsidRDefault="00EB2DCF" w:rsidP="00911A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panose1 w:val="00000000000000000000"/>
    <w:charset w:val="00"/>
    <w:family w:val="auto"/>
    <w:pitch w:val="variable"/>
    <w:sig w:usb0="E00002FF" w:usb1="4000201B" w:usb2="00000028" w:usb3="00000000" w:csb0="0000019F" w:csb1="00000000"/>
  </w:font>
  <w:font w:name="Montserrat ExtraBold">
    <w:panose1 w:val="000009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Montserrat SemiBold">
    <w:panose1 w:val="000007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185823" w14:textId="77777777" w:rsidR="00115969" w:rsidRDefault="00115969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94C23E" w14:textId="77777777" w:rsidR="00D572C5" w:rsidRDefault="00D572C5" w:rsidP="00D572C5">
    <w:pPr>
      <w:pStyle w:val="Piedepgina"/>
      <w:rPr>
        <w:rFonts w:ascii="Montserrat" w:hAnsi="Montserrat"/>
      </w:rPr>
    </w:pPr>
  </w:p>
  <w:p w14:paraId="0DECA69C" w14:textId="77777777" w:rsidR="00D572C5" w:rsidRPr="00D572C5" w:rsidRDefault="00D572C5" w:rsidP="00D572C5">
    <w:pPr>
      <w:pStyle w:val="Piedepgina"/>
      <w:rPr>
        <w:rFonts w:ascii="Montserrat" w:hAnsi="Montserrat"/>
        <w:sz w:val="18"/>
        <w:szCs w:val="18"/>
      </w:rPr>
    </w:pPr>
    <w:r w:rsidRPr="00D572C5">
      <w:rPr>
        <w:rFonts w:ascii="Montserrat" w:hAnsi="Montserrat"/>
        <w:sz w:val="18"/>
        <w:szCs w:val="18"/>
      </w:rPr>
      <w:t>Departamento de Comunicación</w:t>
    </w:r>
  </w:p>
  <w:p w14:paraId="4AC0593B" w14:textId="77777777" w:rsidR="00D572C5" w:rsidRPr="00D572C5" w:rsidRDefault="00D572C5" w:rsidP="00D572C5">
    <w:pPr>
      <w:pStyle w:val="Piedepgina"/>
      <w:rPr>
        <w:rFonts w:ascii="Montserrat" w:hAnsi="Montserrat"/>
        <w:sz w:val="18"/>
        <w:szCs w:val="18"/>
      </w:rPr>
    </w:pPr>
    <w:r w:rsidRPr="00D572C5">
      <w:rPr>
        <w:rFonts w:ascii="Montserrat" w:hAnsi="Montserrat"/>
        <w:sz w:val="18"/>
        <w:szCs w:val="18"/>
      </w:rPr>
      <w:t>Consejo Superior de los Colegios de Arquitectos de España</w:t>
    </w:r>
  </w:p>
  <w:p w14:paraId="502C0CDE" w14:textId="1EB892AD" w:rsidR="00D572C5" w:rsidRPr="00D572C5" w:rsidRDefault="00D572C5" w:rsidP="00D572C5">
    <w:pPr>
      <w:pStyle w:val="Piedepgina"/>
      <w:rPr>
        <w:rFonts w:ascii="Montserrat" w:hAnsi="Montserrat"/>
        <w:sz w:val="18"/>
        <w:szCs w:val="18"/>
      </w:rPr>
    </w:pPr>
    <w:r w:rsidRPr="00D572C5">
      <w:rPr>
        <w:rFonts w:ascii="Montserrat" w:hAnsi="Montserrat"/>
        <w:sz w:val="18"/>
        <w:szCs w:val="18"/>
      </w:rPr>
      <w:t>Paseo de la Castellana 12, 28046, Madrid</w:t>
    </w:r>
  </w:p>
  <w:p w14:paraId="44F671B9" w14:textId="77777777" w:rsidR="00D572C5" w:rsidRPr="00D572C5" w:rsidRDefault="00D572C5" w:rsidP="00D572C5">
    <w:pPr>
      <w:pStyle w:val="Piedepgina"/>
      <w:rPr>
        <w:rFonts w:ascii="Montserrat" w:hAnsi="Montserrat"/>
        <w:sz w:val="18"/>
        <w:szCs w:val="18"/>
      </w:rPr>
    </w:pPr>
    <w:hyperlink r:id="rId1" w:history="1">
      <w:r w:rsidRPr="00D572C5">
        <w:rPr>
          <w:rStyle w:val="Hipervnculo"/>
          <w:rFonts w:ascii="Montserrat" w:hAnsi="Montserrat"/>
          <w:sz w:val="18"/>
          <w:szCs w:val="18"/>
        </w:rPr>
        <w:t>comunicación@cscae.com</w:t>
      </w:r>
    </w:hyperlink>
    <w:r w:rsidRPr="00D572C5">
      <w:rPr>
        <w:rFonts w:ascii="Montserrat" w:hAnsi="Montserrat"/>
        <w:sz w:val="18"/>
        <w:szCs w:val="18"/>
      </w:rPr>
      <w:t xml:space="preserve"> – Tel: 914352200 Ext 211</w:t>
    </w:r>
  </w:p>
  <w:p w14:paraId="1BC7A469" w14:textId="57742B93" w:rsidR="008F4768" w:rsidRPr="00D572C5" w:rsidRDefault="00D572C5" w:rsidP="008F4768">
    <w:pPr>
      <w:pStyle w:val="Piedepgina"/>
      <w:tabs>
        <w:tab w:val="clear" w:pos="4252"/>
        <w:tab w:val="clear" w:pos="8504"/>
        <w:tab w:val="left" w:pos="6340"/>
      </w:tabs>
      <w:rPr>
        <w:rFonts w:ascii="Montserrat" w:hAnsi="Montserrat"/>
        <w:sz w:val="18"/>
        <w:szCs w:val="18"/>
      </w:rPr>
    </w:pPr>
    <w:hyperlink r:id="rId2" w:history="1">
      <w:r w:rsidRPr="00D572C5">
        <w:rPr>
          <w:rStyle w:val="Hipervnculo"/>
          <w:rFonts w:ascii="Montserrat" w:hAnsi="Montserrat"/>
          <w:sz w:val="18"/>
          <w:szCs w:val="18"/>
        </w:rPr>
        <w:t>www.cscae.com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094C19" w14:textId="77777777" w:rsidR="008F4768" w:rsidRDefault="008F4768" w:rsidP="008F4768">
    <w:pPr>
      <w:pStyle w:val="Piedepgina"/>
      <w:rPr>
        <w:rFonts w:ascii="Montserrat" w:hAnsi="Montserrat"/>
      </w:rPr>
    </w:pPr>
  </w:p>
  <w:p w14:paraId="1FB9195A" w14:textId="77777777" w:rsidR="008F4768" w:rsidRPr="00D572C5" w:rsidRDefault="008F4768" w:rsidP="008F4768">
    <w:pPr>
      <w:pStyle w:val="Piedepgina"/>
      <w:rPr>
        <w:rFonts w:ascii="Montserrat" w:hAnsi="Montserrat"/>
        <w:sz w:val="18"/>
        <w:szCs w:val="18"/>
      </w:rPr>
    </w:pPr>
    <w:r w:rsidRPr="00D572C5">
      <w:rPr>
        <w:rFonts w:ascii="Montserrat" w:hAnsi="Montserrat"/>
        <w:sz w:val="18"/>
        <w:szCs w:val="18"/>
      </w:rPr>
      <w:t>Departamento de Comunicación</w:t>
    </w:r>
  </w:p>
  <w:p w14:paraId="1B0E4300" w14:textId="77777777" w:rsidR="008F4768" w:rsidRPr="00D572C5" w:rsidRDefault="008F4768" w:rsidP="008F4768">
    <w:pPr>
      <w:pStyle w:val="Piedepgina"/>
      <w:rPr>
        <w:rFonts w:ascii="Montserrat" w:hAnsi="Montserrat"/>
        <w:sz w:val="18"/>
        <w:szCs w:val="18"/>
      </w:rPr>
    </w:pPr>
    <w:r w:rsidRPr="00D572C5">
      <w:rPr>
        <w:rFonts w:ascii="Montserrat" w:hAnsi="Montserrat"/>
        <w:sz w:val="18"/>
        <w:szCs w:val="18"/>
      </w:rPr>
      <w:t>Consejo Superior de los Colegios de Arquitectos de España</w:t>
    </w:r>
  </w:p>
  <w:p w14:paraId="0D2D1E69" w14:textId="55BEEADE" w:rsidR="008F4768" w:rsidRPr="00D572C5" w:rsidRDefault="008F4768" w:rsidP="008F4768">
    <w:pPr>
      <w:pStyle w:val="Piedepgina"/>
      <w:rPr>
        <w:rFonts w:ascii="Montserrat" w:hAnsi="Montserrat"/>
        <w:sz w:val="18"/>
        <w:szCs w:val="18"/>
      </w:rPr>
    </w:pPr>
    <w:r w:rsidRPr="00D572C5">
      <w:rPr>
        <w:rFonts w:ascii="Montserrat" w:hAnsi="Montserrat"/>
        <w:sz w:val="18"/>
        <w:szCs w:val="18"/>
      </w:rPr>
      <w:t>Paseo de la Castellana 12, 28046, Madrid</w:t>
    </w:r>
  </w:p>
  <w:p w14:paraId="16F45998" w14:textId="5FABBF15" w:rsidR="008F4768" w:rsidRPr="00D572C5" w:rsidRDefault="008F4768" w:rsidP="008F4768">
    <w:pPr>
      <w:pStyle w:val="Piedepgina"/>
      <w:rPr>
        <w:rFonts w:ascii="Montserrat" w:hAnsi="Montserrat"/>
        <w:sz w:val="18"/>
        <w:szCs w:val="18"/>
      </w:rPr>
    </w:pPr>
    <w:hyperlink r:id="rId1" w:history="1">
      <w:r w:rsidRPr="00D572C5">
        <w:rPr>
          <w:rStyle w:val="Hipervnculo"/>
          <w:rFonts w:ascii="Montserrat" w:hAnsi="Montserrat"/>
          <w:sz w:val="18"/>
          <w:szCs w:val="18"/>
        </w:rPr>
        <w:t>comunicación@cscae.com</w:t>
      </w:r>
    </w:hyperlink>
    <w:r w:rsidRPr="00D572C5">
      <w:rPr>
        <w:rFonts w:ascii="Montserrat" w:hAnsi="Montserrat"/>
        <w:sz w:val="18"/>
        <w:szCs w:val="18"/>
      </w:rPr>
      <w:t xml:space="preserve"> – Tel: 914352200 Ext 2</w:t>
    </w:r>
    <w:r w:rsidR="00F00650">
      <w:rPr>
        <w:rFonts w:ascii="Montserrat" w:hAnsi="Montserrat"/>
        <w:sz w:val="18"/>
        <w:szCs w:val="18"/>
      </w:rPr>
      <w:t>22</w:t>
    </w:r>
  </w:p>
  <w:p w14:paraId="371DDF95" w14:textId="77777777" w:rsidR="008F4768" w:rsidRPr="00D572C5" w:rsidRDefault="008F4768" w:rsidP="008F4768">
    <w:pPr>
      <w:pStyle w:val="Piedepgina"/>
      <w:tabs>
        <w:tab w:val="clear" w:pos="4252"/>
        <w:tab w:val="clear" w:pos="8504"/>
        <w:tab w:val="left" w:pos="6340"/>
      </w:tabs>
      <w:rPr>
        <w:rFonts w:ascii="Montserrat" w:hAnsi="Montserrat"/>
        <w:sz w:val="18"/>
        <w:szCs w:val="18"/>
      </w:rPr>
    </w:pPr>
    <w:hyperlink r:id="rId2" w:history="1">
      <w:r w:rsidRPr="00D572C5">
        <w:rPr>
          <w:rStyle w:val="Hipervnculo"/>
          <w:rFonts w:ascii="Montserrat" w:hAnsi="Montserrat"/>
          <w:sz w:val="18"/>
          <w:szCs w:val="18"/>
        </w:rPr>
        <w:t>www.cscae.com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18C467" w14:textId="77777777" w:rsidR="00EB2DCF" w:rsidRDefault="00EB2DCF" w:rsidP="00911AA3">
      <w:r>
        <w:separator/>
      </w:r>
    </w:p>
  </w:footnote>
  <w:footnote w:type="continuationSeparator" w:id="0">
    <w:p w14:paraId="24682C0B" w14:textId="77777777" w:rsidR="00EB2DCF" w:rsidRDefault="00EB2DCF" w:rsidP="00911A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ACF2F0" w14:textId="77777777" w:rsidR="00115969" w:rsidRDefault="00115969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0EAAD0" w14:textId="66D39CDF" w:rsidR="00F877D4" w:rsidRPr="00F877D4" w:rsidRDefault="00F877D4" w:rsidP="00F877D4">
    <w:pPr>
      <w:pStyle w:val="Encabezado"/>
      <w:jc w:val="right"/>
      <w:rPr>
        <w:rFonts w:ascii="Montserrat" w:hAnsi="Montserrat"/>
        <w:color w:val="FF0000"/>
        <w:sz w:val="28"/>
        <w:szCs w:val="32"/>
      </w:rPr>
    </w:pPr>
    <w:r w:rsidRPr="00F877D4">
      <w:rPr>
        <w:rFonts w:ascii="Montserrat" w:hAnsi="Montserrat"/>
        <w:noProof/>
        <w:color w:val="FF0000"/>
        <w:sz w:val="28"/>
        <w:szCs w:val="32"/>
      </w:rPr>
      <w:drawing>
        <wp:anchor distT="0" distB="0" distL="114300" distR="114300" simplePos="0" relativeHeight="251670528" behindDoc="1" locked="0" layoutInCell="1" allowOverlap="1" wp14:anchorId="74BBC91F" wp14:editId="631FA91D">
          <wp:simplePos x="0" y="0"/>
          <wp:positionH relativeFrom="margin">
            <wp:posOffset>103917</wp:posOffset>
          </wp:positionH>
          <wp:positionV relativeFrom="page">
            <wp:posOffset>652634</wp:posOffset>
          </wp:positionV>
          <wp:extent cx="1236980" cy="266700"/>
          <wp:effectExtent l="0" t="0" r="1270" b="0"/>
          <wp:wrapNone/>
          <wp:docPr id="2" name="Imagen 2" descr="Imagen en blanco y negro&#10;&#10;Descripción generada automáticamente con confianza baj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Imagen 14" descr="Imagen en blanco y negro&#10;&#10;Descripción generada automáticamente con confianza baja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36980" cy="266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6C2FC44" w14:textId="662E4C39" w:rsidR="00641FCD" w:rsidRDefault="00641FCD" w:rsidP="00F877D4">
    <w:pPr>
      <w:pStyle w:val="Encabezado"/>
      <w:jc w:val="right"/>
      <w:rPr>
        <w:rFonts w:ascii="Montserrat" w:hAnsi="Montserrat"/>
      </w:rPr>
    </w:pPr>
    <w:r>
      <w:rPr>
        <w:rFonts w:ascii="Montserrat" w:hAnsi="Montserrat"/>
      </w:rPr>
      <w:t xml:space="preserve">       </w:t>
    </w:r>
    <w:r>
      <w:rPr>
        <w:rFonts w:ascii="Montserrat" w:hAnsi="Montserrat"/>
      </w:rPr>
      <w:tab/>
    </w:r>
  </w:p>
  <w:p w14:paraId="783672CB" w14:textId="4A0EAF06" w:rsidR="006C20ED" w:rsidRDefault="00641FCD" w:rsidP="00641FCD">
    <w:pPr>
      <w:pStyle w:val="Encabezado"/>
      <w:jc w:val="right"/>
      <w:rPr>
        <w:rFonts w:ascii="Montserrat" w:hAnsi="Montserrat"/>
      </w:rPr>
    </w:pPr>
    <w:r>
      <w:rPr>
        <w:rFonts w:ascii="Montserrat" w:hAnsi="Montserrat"/>
      </w:rPr>
      <w:t>Nota</w:t>
    </w:r>
    <w:r w:rsidRPr="00CB0B42">
      <w:rPr>
        <w:rFonts w:ascii="Montserrat" w:hAnsi="Montserrat"/>
      </w:rPr>
      <w:t xml:space="preserve"> de prensa</w:t>
    </w:r>
  </w:p>
  <w:p w14:paraId="305D57F7" w14:textId="77777777" w:rsidR="00641FCD" w:rsidRPr="00641FCD" w:rsidRDefault="00641FCD" w:rsidP="00641FCD">
    <w:pPr>
      <w:pStyle w:val="Encabezado"/>
      <w:jc w:val="right"/>
      <w:rPr>
        <w:rFonts w:ascii="Montserrat" w:hAnsi="Montserrat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87722" w14:textId="4A24551B" w:rsidR="00F877D4" w:rsidRPr="00F877D4" w:rsidRDefault="00927436" w:rsidP="00F877D4">
    <w:pPr>
      <w:pStyle w:val="Encabezado"/>
      <w:jc w:val="right"/>
      <w:rPr>
        <w:rFonts w:ascii="Montserrat" w:hAnsi="Montserrat"/>
        <w:color w:val="FF0000"/>
        <w:sz w:val="28"/>
        <w:szCs w:val="32"/>
      </w:rPr>
    </w:pPr>
    <w:r w:rsidRPr="00F877D4">
      <w:rPr>
        <w:rFonts w:ascii="Montserrat" w:hAnsi="Montserrat"/>
        <w:noProof/>
        <w:color w:val="FF0000"/>
        <w:sz w:val="28"/>
        <w:szCs w:val="32"/>
      </w:rPr>
      <w:drawing>
        <wp:anchor distT="0" distB="0" distL="114300" distR="114300" simplePos="0" relativeHeight="251664384" behindDoc="1" locked="0" layoutInCell="1" allowOverlap="1" wp14:anchorId="31769F74" wp14:editId="4B8669ED">
          <wp:simplePos x="0" y="0"/>
          <wp:positionH relativeFrom="margin">
            <wp:posOffset>103917</wp:posOffset>
          </wp:positionH>
          <wp:positionV relativeFrom="page">
            <wp:posOffset>652634</wp:posOffset>
          </wp:positionV>
          <wp:extent cx="1236980" cy="266700"/>
          <wp:effectExtent l="0" t="0" r="1270" b="0"/>
          <wp:wrapNone/>
          <wp:docPr id="9" name="Imagen 9" descr="Imagen en blanco y negro&#10;&#10;Descripción generada automáticamente con confianza baj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Imagen 14" descr="Imagen en blanco y negro&#10;&#10;Descripción generada automáticamente con confianza baja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36980" cy="266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01E74A3" w14:textId="628F4FCE" w:rsidR="00641FCD" w:rsidRPr="00CB0B42" w:rsidRDefault="00927436" w:rsidP="00641FCD">
    <w:pPr>
      <w:pStyle w:val="Encabezado"/>
      <w:jc w:val="right"/>
      <w:rPr>
        <w:rFonts w:ascii="Montserrat" w:hAnsi="Montserrat"/>
      </w:rPr>
    </w:pPr>
    <w:r>
      <w:rPr>
        <w:rFonts w:ascii="Montserrat" w:hAnsi="Montserrat"/>
      </w:rPr>
      <w:tab/>
    </w:r>
    <w:r>
      <w:rPr>
        <w:rFonts w:ascii="Montserrat" w:hAnsi="Montserrat"/>
      </w:rPr>
      <w:tab/>
    </w:r>
    <w:r w:rsidR="00641FCD">
      <w:rPr>
        <w:rFonts w:ascii="Montserrat" w:hAnsi="Montserrat"/>
      </w:rPr>
      <w:t>Nota</w:t>
    </w:r>
    <w:r w:rsidR="00641FCD" w:rsidRPr="00CB0B42">
      <w:rPr>
        <w:rFonts w:ascii="Montserrat" w:hAnsi="Montserrat"/>
      </w:rPr>
      <w:t xml:space="preserve"> de prensa</w:t>
    </w:r>
  </w:p>
  <w:p w14:paraId="0F975375" w14:textId="5909CBD0" w:rsidR="006C20ED" w:rsidRPr="00641FCD" w:rsidRDefault="006C20ED" w:rsidP="0037344D">
    <w:pPr>
      <w:pStyle w:val="Encabezad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00256"/>
    <w:multiLevelType w:val="hybridMultilevel"/>
    <w:tmpl w:val="A6AC8AB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156979"/>
    <w:multiLevelType w:val="hybridMultilevel"/>
    <w:tmpl w:val="6900AC20"/>
    <w:lvl w:ilvl="0" w:tplc="20D6335A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AE64A3"/>
    <w:multiLevelType w:val="multilevel"/>
    <w:tmpl w:val="FE6C3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27F4AAB"/>
    <w:multiLevelType w:val="multilevel"/>
    <w:tmpl w:val="77488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F645E88"/>
    <w:multiLevelType w:val="hybridMultilevel"/>
    <w:tmpl w:val="96C47FCE"/>
    <w:lvl w:ilvl="0" w:tplc="457AEF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sz w:val="21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173F36"/>
    <w:multiLevelType w:val="multilevel"/>
    <w:tmpl w:val="51EC5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C716FF1"/>
    <w:multiLevelType w:val="multilevel"/>
    <w:tmpl w:val="5D40C2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4C701C12"/>
    <w:multiLevelType w:val="multilevel"/>
    <w:tmpl w:val="1410F1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F9678B2"/>
    <w:multiLevelType w:val="multilevel"/>
    <w:tmpl w:val="435CB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636A22A1"/>
    <w:multiLevelType w:val="hybridMultilevel"/>
    <w:tmpl w:val="5F2CB4F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3125887"/>
    <w:multiLevelType w:val="hybridMultilevel"/>
    <w:tmpl w:val="66040536"/>
    <w:lvl w:ilvl="0" w:tplc="0C5EE1C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8308813">
    <w:abstractNumId w:val="9"/>
  </w:num>
  <w:num w:numId="2" w16cid:durableId="753546748">
    <w:abstractNumId w:val="4"/>
  </w:num>
  <w:num w:numId="3" w16cid:durableId="986200921">
    <w:abstractNumId w:val="0"/>
  </w:num>
  <w:num w:numId="4" w16cid:durableId="774137855">
    <w:abstractNumId w:val="1"/>
  </w:num>
  <w:num w:numId="5" w16cid:durableId="220792225">
    <w:abstractNumId w:val="6"/>
  </w:num>
  <w:num w:numId="6" w16cid:durableId="427965605">
    <w:abstractNumId w:val="3"/>
  </w:num>
  <w:num w:numId="7" w16cid:durableId="264844247">
    <w:abstractNumId w:val="5"/>
  </w:num>
  <w:num w:numId="8" w16cid:durableId="828862306">
    <w:abstractNumId w:val="8"/>
  </w:num>
  <w:num w:numId="9" w16cid:durableId="705175353">
    <w:abstractNumId w:val="2"/>
  </w:num>
  <w:num w:numId="10" w16cid:durableId="148905928">
    <w:abstractNumId w:val="7"/>
  </w:num>
  <w:num w:numId="11" w16cid:durableId="54102082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977"/>
    <w:rsid w:val="00011480"/>
    <w:rsid w:val="00023EE1"/>
    <w:rsid w:val="0002564F"/>
    <w:rsid w:val="000256BE"/>
    <w:rsid w:val="0004204F"/>
    <w:rsid w:val="000501C7"/>
    <w:rsid w:val="00056793"/>
    <w:rsid w:val="00057CBE"/>
    <w:rsid w:val="00066A5F"/>
    <w:rsid w:val="000713D3"/>
    <w:rsid w:val="0007473D"/>
    <w:rsid w:val="00083B73"/>
    <w:rsid w:val="00086665"/>
    <w:rsid w:val="00097D24"/>
    <w:rsid w:val="000B77C9"/>
    <w:rsid w:val="000C3723"/>
    <w:rsid w:val="000E3375"/>
    <w:rsid w:val="000E59E7"/>
    <w:rsid w:val="000F6570"/>
    <w:rsid w:val="001011EE"/>
    <w:rsid w:val="0010236F"/>
    <w:rsid w:val="0010742C"/>
    <w:rsid w:val="00112867"/>
    <w:rsid w:val="00115969"/>
    <w:rsid w:val="00121223"/>
    <w:rsid w:val="0012124D"/>
    <w:rsid w:val="00127222"/>
    <w:rsid w:val="00134400"/>
    <w:rsid w:val="001406A9"/>
    <w:rsid w:val="00161437"/>
    <w:rsid w:val="00164974"/>
    <w:rsid w:val="001653B7"/>
    <w:rsid w:val="00170647"/>
    <w:rsid w:val="001800FC"/>
    <w:rsid w:val="00180DE6"/>
    <w:rsid w:val="00191EFB"/>
    <w:rsid w:val="001A2762"/>
    <w:rsid w:val="001A48A7"/>
    <w:rsid w:val="001A4FEB"/>
    <w:rsid w:val="001C0550"/>
    <w:rsid w:val="001C6625"/>
    <w:rsid w:val="001C683D"/>
    <w:rsid w:val="001F20F4"/>
    <w:rsid w:val="001F5B82"/>
    <w:rsid w:val="001F5EF6"/>
    <w:rsid w:val="0021449A"/>
    <w:rsid w:val="002165FB"/>
    <w:rsid w:val="00220A89"/>
    <w:rsid w:val="002252C8"/>
    <w:rsid w:val="00233D60"/>
    <w:rsid w:val="00234F66"/>
    <w:rsid w:val="0023629D"/>
    <w:rsid w:val="0025247A"/>
    <w:rsid w:val="00257178"/>
    <w:rsid w:val="00267E4F"/>
    <w:rsid w:val="00281BA5"/>
    <w:rsid w:val="00292A54"/>
    <w:rsid w:val="00293331"/>
    <w:rsid w:val="00293983"/>
    <w:rsid w:val="00293C6E"/>
    <w:rsid w:val="002B4913"/>
    <w:rsid w:val="002C48E9"/>
    <w:rsid w:val="002C6560"/>
    <w:rsid w:val="002C7773"/>
    <w:rsid w:val="002D22D5"/>
    <w:rsid w:val="002D328F"/>
    <w:rsid w:val="002E57A8"/>
    <w:rsid w:val="002F1CDF"/>
    <w:rsid w:val="002F3D8F"/>
    <w:rsid w:val="002F40E8"/>
    <w:rsid w:val="002F6798"/>
    <w:rsid w:val="003008D7"/>
    <w:rsid w:val="00305B21"/>
    <w:rsid w:val="0030642D"/>
    <w:rsid w:val="0032599D"/>
    <w:rsid w:val="00326642"/>
    <w:rsid w:val="00334C94"/>
    <w:rsid w:val="00344B86"/>
    <w:rsid w:val="00347255"/>
    <w:rsid w:val="00356ABA"/>
    <w:rsid w:val="003708EE"/>
    <w:rsid w:val="0037344D"/>
    <w:rsid w:val="00377735"/>
    <w:rsid w:val="003867FD"/>
    <w:rsid w:val="003A06A7"/>
    <w:rsid w:val="003A7003"/>
    <w:rsid w:val="003B5589"/>
    <w:rsid w:val="003C70C3"/>
    <w:rsid w:val="003D1A67"/>
    <w:rsid w:val="003D6714"/>
    <w:rsid w:val="003D6B00"/>
    <w:rsid w:val="003D7EE0"/>
    <w:rsid w:val="003E5799"/>
    <w:rsid w:val="003F0A1A"/>
    <w:rsid w:val="004028FC"/>
    <w:rsid w:val="004042F1"/>
    <w:rsid w:val="00412827"/>
    <w:rsid w:val="00413B90"/>
    <w:rsid w:val="00423C12"/>
    <w:rsid w:val="004251D0"/>
    <w:rsid w:val="0043031D"/>
    <w:rsid w:val="00440EE2"/>
    <w:rsid w:val="0044486B"/>
    <w:rsid w:val="00450156"/>
    <w:rsid w:val="00452365"/>
    <w:rsid w:val="00454678"/>
    <w:rsid w:val="00471CD6"/>
    <w:rsid w:val="00474A2C"/>
    <w:rsid w:val="004867D0"/>
    <w:rsid w:val="004B5659"/>
    <w:rsid w:val="004B6246"/>
    <w:rsid w:val="004C224F"/>
    <w:rsid w:val="004D0D32"/>
    <w:rsid w:val="004D2A48"/>
    <w:rsid w:val="004D620F"/>
    <w:rsid w:val="004D727C"/>
    <w:rsid w:val="004D7A5B"/>
    <w:rsid w:val="004E0463"/>
    <w:rsid w:val="004E451E"/>
    <w:rsid w:val="004F2F8D"/>
    <w:rsid w:val="00514762"/>
    <w:rsid w:val="00517C06"/>
    <w:rsid w:val="0052669E"/>
    <w:rsid w:val="005564E5"/>
    <w:rsid w:val="00561F29"/>
    <w:rsid w:val="005748EA"/>
    <w:rsid w:val="00575D5E"/>
    <w:rsid w:val="0058406E"/>
    <w:rsid w:val="00591573"/>
    <w:rsid w:val="00597E36"/>
    <w:rsid w:val="005A7393"/>
    <w:rsid w:val="005B51C3"/>
    <w:rsid w:val="005C1A27"/>
    <w:rsid w:val="005C3BE7"/>
    <w:rsid w:val="005C4776"/>
    <w:rsid w:val="005D00FD"/>
    <w:rsid w:val="005D10B0"/>
    <w:rsid w:val="005E1DD5"/>
    <w:rsid w:val="005E2DA2"/>
    <w:rsid w:val="005F4067"/>
    <w:rsid w:val="00600E12"/>
    <w:rsid w:val="0061589F"/>
    <w:rsid w:val="00616C33"/>
    <w:rsid w:val="0062613D"/>
    <w:rsid w:val="00634BF1"/>
    <w:rsid w:val="00635284"/>
    <w:rsid w:val="00641FCD"/>
    <w:rsid w:val="00652140"/>
    <w:rsid w:val="00654671"/>
    <w:rsid w:val="00654E81"/>
    <w:rsid w:val="006551F2"/>
    <w:rsid w:val="0066366D"/>
    <w:rsid w:val="006679A3"/>
    <w:rsid w:val="00672B81"/>
    <w:rsid w:val="00685FB2"/>
    <w:rsid w:val="0069342B"/>
    <w:rsid w:val="00695646"/>
    <w:rsid w:val="006B34E3"/>
    <w:rsid w:val="006C20ED"/>
    <w:rsid w:val="006D16D5"/>
    <w:rsid w:val="006D175A"/>
    <w:rsid w:val="006D45E9"/>
    <w:rsid w:val="006D7023"/>
    <w:rsid w:val="006E1BDC"/>
    <w:rsid w:val="006E26A7"/>
    <w:rsid w:val="00712649"/>
    <w:rsid w:val="00717B9A"/>
    <w:rsid w:val="0072547E"/>
    <w:rsid w:val="00727671"/>
    <w:rsid w:val="0073389C"/>
    <w:rsid w:val="0074729A"/>
    <w:rsid w:val="00747F0F"/>
    <w:rsid w:val="00752B62"/>
    <w:rsid w:val="007576DC"/>
    <w:rsid w:val="00761DC3"/>
    <w:rsid w:val="00767199"/>
    <w:rsid w:val="00771B3E"/>
    <w:rsid w:val="00776F86"/>
    <w:rsid w:val="0078317F"/>
    <w:rsid w:val="007A02B4"/>
    <w:rsid w:val="007B6662"/>
    <w:rsid w:val="007D0068"/>
    <w:rsid w:val="007D3546"/>
    <w:rsid w:val="007D5882"/>
    <w:rsid w:val="0080011C"/>
    <w:rsid w:val="00801EA7"/>
    <w:rsid w:val="00807EE0"/>
    <w:rsid w:val="008147DD"/>
    <w:rsid w:val="00821547"/>
    <w:rsid w:val="00821893"/>
    <w:rsid w:val="008226EE"/>
    <w:rsid w:val="00825FD5"/>
    <w:rsid w:val="00843BB5"/>
    <w:rsid w:val="0084593C"/>
    <w:rsid w:val="00845CFF"/>
    <w:rsid w:val="00852418"/>
    <w:rsid w:val="00862C33"/>
    <w:rsid w:val="008643CA"/>
    <w:rsid w:val="00865CBC"/>
    <w:rsid w:val="00871527"/>
    <w:rsid w:val="00872A59"/>
    <w:rsid w:val="00872ED3"/>
    <w:rsid w:val="008760BB"/>
    <w:rsid w:val="008814E9"/>
    <w:rsid w:val="00881AC3"/>
    <w:rsid w:val="0088447B"/>
    <w:rsid w:val="008A6980"/>
    <w:rsid w:val="008B31F4"/>
    <w:rsid w:val="008C1D5A"/>
    <w:rsid w:val="008C7C1B"/>
    <w:rsid w:val="008E51D7"/>
    <w:rsid w:val="008F4768"/>
    <w:rsid w:val="008F6745"/>
    <w:rsid w:val="008F7B33"/>
    <w:rsid w:val="009042D2"/>
    <w:rsid w:val="00911AA3"/>
    <w:rsid w:val="00915479"/>
    <w:rsid w:val="00923D36"/>
    <w:rsid w:val="00927436"/>
    <w:rsid w:val="00927940"/>
    <w:rsid w:val="00932551"/>
    <w:rsid w:val="00933E77"/>
    <w:rsid w:val="00936C64"/>
    <w:rsid w:val="0094017E"/>
    <w:rsid w:val="0094409E"/>
    <w:rsid w:val="00946C6B"/>
    <w:rsid w:val="009526FC"/>
    <w:rsid w:val="00957EB5"/>
    <w:rsid w:val="00976325"/>
    <w:rsid w:val="00997AE7"/>
    <w:rsid w:val="009A7E83"/>
    <w:rsid w:val="009B136E"/>
    <w:rsid w:val="009B1CB6"/>
    <w:rsid w:val="009B25D0"/>
    <w:rsid w:val="009B74E2"/>
    <w:rsid w:val="009D7CD2"/>
    <w:rsid w:val="009E60CF"/>
    <w:rsid w:val="009F4E2C"/>
    <w:rsid w:val="00A0521C"/>
    <w:rsid w:val="00A12027"/>
    <w:rsid w:val="00A20977"/>
    <w:rsid w:val="00A2424D"/>
    <w:rsid w:val="00A375B5"/>
    <w:rsid w:val="00A500E4"/>
    <w:rsid w:val="00A53F6A"/>
    <w:rsid w:val="00A60CFC"/>
    <w:rsid w:val="00A75AF9"/>
    <w:rsid w:val="00A84245"/>
    <w:rsid w:val="00A940D7"/>
    <w:rsid w:val="00A97964"/>
    <w:rsid w:val="00AC774B"/>
    <w:rsid w:val="00AD0D69"/>
    <w:rsid w:val="00AD10D9"/>
    <w:rsid w:val="00AD7CA9"/>
    <w:rsid w:val="00AE3D29"/>
    <w:rsid w:val="00AF3946"/>
    <w:rsid w:val="00B05F56"/>
    <w:rsid w:val="00B062DA"/>
    <w:rsid w:val="00B14CA1"/>
    <w:rsid w:val="00B24FE0"/>
    <w:rsid w:val="00B320C4"/>
    <w:rsid w:val="00B331CC"/>
    <w:rsid w:val="00B35868"/>
    <w:rsid w:val="00B45F04"/>
    <w:rsid w:val="00B5087E"/>
    <w:rsid w:val="00B51E66"/>
    <w:rsid w:val="00B559C6"/>
    <w:rsid w:val="00B60C27"/>
    <w:rsid w:val="00B678BA"/>
    <w:rsid w:val="00B749F0"/>
    <w:rsid w:val="00B7675A"/>
    <w:rsid w:val="00B8391E"/>
    <w:rsid w:val="00B86965"/>
    <w:rsid w:val="00B91A2C"/>
    <w:rsid w:val="00BB0F22"/>
    <w:rsid w:val="00BB3C98"/>
    <w:rsid w:val="00BE49DF"/>
    <w:rsid w:val="00BF1FF8"/>
    <w:rsid w:val="00BF2031"/>
    <w:rsid w:val="00BF63ED"/>
    <w:rsid w:val="00C13686"/>
    <w:rsid w:val="00C14738"/>
    <w:rsid w:val="00C166BE"/>
    <w:rsid w:val="00C17D4F"/>
    <w:rsid w:val="00C333B1"/>
    <w:rsid w:val="00C40DBD"/>
    <w:rsid w:val="00C471D4"/>
    <w:rsid w:val="00C538AB"/>
    <w:rsid w:val="00C728AC"/>
    <w:rsid w:val="00C76AD0"/>
    <w:rsid w:val="00C8008E"/>
    <w:rsid w:val="00C9503C"/>
    <w:rsid w:val="00C96132"/>
    <w:rsid w:val="00C96898"/>
    <w:rsid w:val="00C96D42"/>
    <w:rsid w:val="00CA0B65"/>
    <w:rsid w:val="00CB0B42"/>
    <w:rsid w:val="00CB6EA3"/>
    <w:rsid w:val="00CB7B8F"/>
    <w:rsid w:val="00CC3E8C"/>
    <w:rsid w:val="00CC6E24"/>
    <w:rsid w:val="00CC7511"/>
    <w:rsid w:val="00CD3940"/>
    <w:rsid w:val="00CF5C13"/>
    <w:rsid w:val="00CF5DA8"/>
    <w:rsid w:val="00D049FB"/>
    <w:rsid w:val="00D1027C"/>
    <w:rsid w:val="00D11C6F"/>
    <w:rsid w:val="00D13A03"/>
    <w:rsid w:val="00D178A0"/>
    <w:rsid w:val="00D23C0D"/>
    <w:rsid w:val="00D27053"/>
    <w:rsid w:val="00D43BA8"/>
    <w:rsid w:val="00D43F15"/>
    <w:rsid w:val="00D44441"/>
    <w:rsid w:val="00D572C5"/>
    <w:rsid w:val="00D8202F"/>
    <w:rsid w:val="00D92C42"/>
    <w:rsid w:val="00DA3CAE"/>
    <w:rsid w:val="00DC469B"/>
    <w:rsid w:val="00DD7431"/>
    <w:rsid w:val="00DE7E33"/>
    <w:rsid w:val="00DF0619"/>
    <w:rsid w:val="00DF476D"/>
    <w:rsid w:val="00DF524B"/>
    <w:rsid w:val="00DF5CB8"/>
    <w:rsid w:val="00E0074C"/>
    <w:rsid w:val="00E01353"/>
    <w:rsid w:val="00E138DE"/>
    <w:rsid w:val="00E16D1F"/>
    <w:rsid w:val="00E22E7A"/>
    <w:rsid w:val="00E268CB"/>
    <w:rsid w:val="00E278A4"/>
    <w:rsid w:val="00E418BC"/>
    <w:rsid w:val="00E479C5"/>
    <w:rsid w:val="00E702B2"/>
    <w:rsid w:val="00E712AA"/>
    <w:rsid w:val="00E7458B"/>
    <w:rsid w:val="00E83D34"/>
    <w:rsid w:val="00E877AB"/>
    <w:rsid w:val="00E90DB4"/>
    <w:rsid w:val="00E92771"/>
    <w:rsid w:val="00E938F8"/>
    <w:rsid w:val="00E943A9"/>
    <w:rsid w:val="00EA4A40"/>
    <w:rsid w:val="00EB2DCF"/>
    <w:rsid w:val="00EB2E55"/>
    <w:rsid w:val="00EB3BA2"/>
    <w:rsid w:val="00EB5574"/>
    <w:rsid w:val="00EC139B"/>
    <w:rsid w:val="00EC4D78"/>
    <w:rsid w:val="00EC52A5"/>
    <w:rsid w:val="00EC54C5"/>
    <w:rsid w:val="00EC5C78"/>
    <w:rsid w:val="00EC71C2"/>
    <w:rsid w:val="00ED7306"/>
    <w:rsid w:val="00ED7343"/>
    <w:rsid w:val="00EF40ED"/>
    <w:rsid w:val="00F00650"/>
    <w:rsid w:val="00F25DF6"/>
    <w:rsid w:val="00F33D59"/>
    <w:rsid w:val="00F3546A"/>
    <w:rsid w:val="00F37958"/>
    <w:rsid w:val="00F4099E"/>
    <w:rsid w:val="00F40D0C"/>
    <w:rsid w:val="00F41E44"/>
    <w:rsid w:val="00F41F12"/>
    <w:rsid w:val="00F423DE"/>
    <w:rsid w:val="00F64BD3"/>
    <w:rsid w:val="00F749DF"/>
    <w:rsid w:val="00F877D4"/>
    <w:rsid w:val="00F917A3"/>
    <w:rsid w:val="00F91B73"/>
    <w:rsid w:val="00F95E31"/>
    <w:rsid w:val="00F96D6A"/>
    <w:rsid w:val="00F9710E"/>
    <w:rsid w:val="00FA3F89"/>
    <w:rsid w:val="00FA742F"/>
    <w:rsid w:val="00FB19B2"/>
    <w:rsid w:val="00FD216E"/>
    <w:rsid w:val="00FD2B30"/>
    <w:rsid w:val="00FD37AC"/>
    <w:rsid w:val="00FD4F4D"/>
    <w:rsid w:val="00FE333C"/>
    <w:rsid w:val="00FE37CC"/>
    <w:rsid w:val="00FF5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73AB8A"/>
  <w15:chartTrackingRefBased/>
  <w15:docId w15:val="{599591F8-3BFF-44FB-BCD0-08BC08FD5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10742C"/>
    <w:pPr>
      <w:spacing w:before="120" w:after="120"/>
    </w:pPr>
    <w:rPr>
      <w:sz w:val="21"/>
    </w:rPr>
  </w:style>
  <w:style w:type="paragraph" w:styleId="Ttulo1">
    <w:name w:val="heading 1"/>
    <w:basedOn w:val="Normal"/>
    <w:next w:val="Normal"/>
    <w:link w:val="Ttulo1Car"/>
    <w:uiPriority w:val="9"/>
    <w:qFormat/>
    <w:rsid w:val="00164974"/>
    <w:pPr>
      <w:keepNext/>
      <w:keepLines/>
      <w:outlineLvl w:val="0"/>
    </w:pPr>
    <w:rPr>
      <w:rFonts w:asciiTheme="majorHAnsi" w:eastAsiaTheme="majorEastAsia" w:hAnsiTheme="majorHAnsi" w:cstheme="majorBidi"/>
      <w:color w:val="000000" w:themeColor="text1"/>
      <w:sz w:val="48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164974"/>
    <w:pPr>
      <w:keepNext/>
      <w:keepLines/>
      <w:outlineLvl w:val="1"/>
    </w:pPr>
    <w:rPr>
      <w:rFonts w:ascii="Montserrat SemiBold" w:eastAsiaTheme="majorEastAsia" w:hAnsi="Montserrat SemiBold" w:cstheme="majorBidi"/>
      <w:color w:val="DB0D15" w:themeColor="accent1"/>
      <w:sz w:val="28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164974"/>
    <w:pPr>
      <w:keepNext/>
      <w:keepLines/>
      <w:outlineLvl w:val="2"/>
    </w:pPr>
    <w:rPr>
      <w:rFonts w:ascii="Montserrat" w:eastAsiaTheme="majorEastAsia" w:hAnsi="Montserrat" w:cstheme="majorBidi"/>
      <w:b/>
      <w:color w:val="ACAA9F" w:themeColor="accent2"/>
      <w:sz w:val="24"/>
      <w:szCs w:val="24"/>
    </w:rPr>
  </w:style>
  <w:style w:type="paragraph" w:styleId="Ttulo4">
    <w:name w:val="heading 4"/>
    <w:basedOn w:val="Normal"/>
    <w:next w:val="Normal"/>
    <w:link w:val="Ttulo4Car"/>
    <w:uiPriority w:val="9"/>
    <w:unhideWhenUsed/>
    <w:rsid w:val="00911AA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A3090F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unhideWhenUsed/>
    <w:rsid w:val="00911AA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A3090F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unhideWhenUsed/>
    <w:rsid w:val="00911AA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6C060A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unhideWhenUsed/>
    <w:rsid w:val="00911AA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6C060A" w:themeColor="accent1" w:themeShade="7F"/>
    </w:rPr>
  </w:style>
  <w:style w:type="paragraph" w:styleId="Ttulo8">
    <w:name w:val="heading 8"/>
    <w:basedOn w:val="Normal"/>
    <w:next w:val="Normal"/>
    <w:link w:val="Ttulo8Car"/>
    <w:uiPriority w:val="9"/>
    <w:unhideWhenUsed/>
    <w:rsid w:val="00911AA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Ttulo9">
    <w:name w:val="heading 9"/>
    <w:basedOn w:val="Normal"/>
    <w:next w:val="Normal"/>
    <w:link w:val="Ttulo9Car"/>
    <w:uiPriority w:val="9"/>
    <w:unhideWhenUsed/>
    <w:rsid w:val="00911AA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link w:val="SinespaciadoCar"/>
    <w:uiPriority w:val="1"/>
    <w:rsid w:val="00127222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164974"/>
    <w:rPr>
      <w:rFonts w:asciiTheme="majorHAnsi" w:eastAsiaTheme="majorEastAsia" w:hAnsiTheme="majorHAnsi" w:cstheme="majorBidi"/>
      <w:color w:val="000000" w:themeColor="text1"/>
      <w:sz w:val="48"/>
      <w:szCs w:val="32"/>
    </w:rPr>
  </w:style>
  <w:style w:type="character" w:customStyle="1" w:styleId="Ttulo2Car">
    <w:name w:val="Título 2 Car"/>
    <w:basedOn w:val="Fuentedeprrafopredeter"/>
    <w:link w:val="Ttulo2"/>
    <w:uiPriority w:val="9"/>
    <w:rsid w:val="00164974"/>
    <w:rPr>
      <w:rFonts w:ascii="Montserrat SemiBold" w:eastAsiaTheme="majorEastAsia" w:hAnsi="Montserrat SemiBold" w:cstheme="majorBidi"/>
      <w:color w:val="DB0D15" w:themeColor="accent1"/>
      <w:sz w:val="28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164974"/>
    <w:rPr>
      <w:rFonts w:ascii="Montserrat" w:eastAsiaTheme="majorEastAsia" w:hAnsi="Montserrat" w:cstheme="majorBidi"/>
      <w:b/>
      <w:color w:val="ACAA9F" w:themeColor="accent2"/>
      <w:sz w:val="24"/>
      <w:szCs w:val="24"/>
    </w:rPr>
  </w:style>
  <w:style w:type="paragraph" w:styleId="Encabezado">
    <w:name w:val="header"/>
    <w:basedOn w:val="Normal"/>
    <w:link w:val="EncabezadoCar"/>
    <w:uiPriority w:val="99"/>
    <w:unhideWhenUsed/>
    <w:rsid w:val="001272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27222"/>
  </w:style>
  <w:style w:type="paragraph" w:styleId="Piedepgina">
    <w:name w:val="footer"/>
    <w:basedOn w:val="Normal"/>
    <w:link w:val="PiedepginaCar"/>
    <w:uiPriority w:val="99"/>
    <w:unhideWhenUsed/>
    <w:rsid w:val="001272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27222"/>
  </w:style>
  <w:style w:type="paragraph" w:styleId="NormalWeb">
    <w:name w:val="Normal (Web)"/>
    <w:basedOn w:val="Normal"/>
    <w:uiPriority w:val="99"/>
    <w:semiHidden/>
    <w:unhideWhenUsed/>
    <w:rsid w:val="00AD0D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TDC">
    <w:name w:val="TOC Heading"/>
    <w:basedOn w:val="Ttulo1"/>
    <w:next w:val="Normal"/>
    <w:uiPriority w:val="39"/>
    <w:unhideWhenUsed/>
    <w:qFormat/>
    <w:rsid w:val="00EC4D78"/>
    <w:pPr>
      <w:spacing w:line="259" w:lineRule="auto"/>
      <w:outlineLvl w:val="9"/>
    </w:pPr>
    <w:rPr>
      <w:lang w:eastAsia="es-ES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F96D6A"/>
  </w:style>
  <w:style w:type="character" w:customStyle="1" w:styleId="Redonda">
    <w:name w:val="Redonda"/>
    <w:basedOn w:val="Fuentedeprrafopredeter"/>
    <w:uiPriority w:val="1"/>
    <w:qFormat/>
    <w:rsid w:val="00EC52A5"/>
  </w:style>
  <w:style w:type="paragraph" w:styleId="TDC2">
    <w:name w:val="toc 2"/>
    <w:basedOn w:val="Normal"/>
    <w:next w:val="Normal"/>
    <w:autoRedefine/>
    <w:uiPriority w:val="39"/>
    <w:unhideWhenUsed/>
    <w:rsid w:val="00CF5DA8"/>
    <w:pPr>
      <w:tabs>
        <w:tab w:val="right" w:pos="9060"/>
      </w:tabs>
      <w:spacing w:after="100"/>
      <w:ind w:left="210"/>
    </w:pPr>
    <w:rPr>
      <w:noProof/>
      <w:color w:val="000000" w:themeColor="text2"/>
    </w:rPr>
  </w:style>
  <w:style w:type="paragraph" w:styleId="TDC1">
    <w:name w:val="toc 1"/>
    <w:basedOn w:val="Normal"/>
    <w:next w:val="Normal"/>
    <w:autoRedefine/>
    <w:uiPriority w:val="39"/>
    <w:unhideWhenUsed/>
    <w:rsid w:val="00CF5DA8"/>
    <w:pPr>
      <w:spacing w:after="100"/>
    </w:pPr>
  </w:style>
  <w:style w:type="paragraph" w:styleId="TDC3">
    <w:name w:val="toc 3"/>
    <w:basedOn w:val="Normal"/>
    <w:next w:val="Normal"/>
    <w:autoRedefine/>
    <w:uiPriority w:val="39"/>
    <w:unhideWhenUsed/>
    <w:rsid w:val="00CF5DA8"/>
    <w:pPr>
      <w:spacing w:after="100"/>
      <w:ind w:left="420"/>
    </w:pPr>
  </w:style>
  <w:style w:type="paragraph" w:customStyle="1" w:styleId="Subttuloportada">
    <w:name w:val="Subtítulo portada"/>
    <w:qFormat/>
    <w:rsid w:val="00871527"/>
    <w:rPr>
      <w:rFonts w:ascii="Montserrat SemiBold" w:hAnsi="Montserrat SemiBold"/>
      <w:color w:val="ACAA9F" w:themeColor="accent2"/>
      <w:sz w:val="56"/>
      <w:szCs w:val="56"/>
    </w:rPr>
  </w:style>
  <w:style w:type="paragraph" w:customStyle="1" w:styleId="Ttuloportada">
    <w:name w:val="Título portada"/>
    <w:qFormat/>
    <w:rsid w:val="002165FB"/>
    <w:rPr>
      <w:rFonts w:asciiTheme="majorHAnsi" w:hAnsiTheme="majorHAnsi"/>
      <w:sz w:val="80"/>
      <w:szCs w:val="80"/>
    </w:rPr>
  </w:style>
  <w:style w:type="character" w:styleId="Hipervnculo">
    <w:name w:val="Hyperlink"/>
    <w:basedOn w:val="Fuentedeprrafopredeter"/>
    <w:uiPriority w:val="99"/>
    <w:unhideWhenUsed/>
    <w:rsid w:val="00CF5DA8"/>
    <w:rPr>
      <w:color w:val="DB0D15" w:themeColor="hyperlink"/>
      <w:u w:val="single"/>
    </w:rPr>
  </w:style>
  <w:style w:type="character" w:customStyle="1" w:styleId="Ttulo4Car">
    <w:name w:val="Título 4 Car"/>
    <w:basedOn w:val="Fuentedeprrafopredeter"/>
    <w:link w:val="Ttulo4"/>
    <w:uiPriority w:val="9"/>
    <w:rsid w:val="00911AA3"/>
    <w:rPr>
      <w:rFonts w:asciiTheme="majorHAnsi" w:eastAsiaTheme="majorEastAsia" w:hAnsiTheme="majorHAnsi" w:cstheme="majorBidi"/>
      <w:i/>
      <w:iCs/>
      <w:color w:val="A3090F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rsid w:val="00911AA3"/>
    <w:rPr>
      <w:rFonts w:asciiTheme="majorHAnsi" w:eastAsiaTheme="majorEastAsia" w:hAnsiTheme="majorHAnsi" w:cstheme="majorBidi"/>
      <w:color w:val="A3090F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rsid w:val="00911AA3"/>
    <w:rPr>
      <w:rFonts w:asciiTheme="majorHAnsi" w:eastAsiaTheme="majorEastAsia" w:hAnsiTheme="majorHAnsi" w:cstheme="majorBidi"/>
      <w:color w:val="6C060A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rsid w:val="00911AA3"/>
    <w:rPr>
      <w:rFonts w:asciiTheme="majorHAnsi" w:eastAsiaTheme="majorEastAsia" w:hAnsiTheme="majorHAnsi" w:cstheme="majorBidi"/>
      <w:i/>
      <w:iCs/>
      <w:color w:val="6C060A" w:themeColor="accent1" w:themeShade="7F"/>
    </w:rPr>
  </w:style>
  <w:style w:type="character" w:customStyle="1" w:styleId="Ttulo8Car">
    <w:name w:val="Título 8 Car"/>
    <w:basedOn w:val="Fuentedeprrafopredeter"/>
    <w:link w:val="Ttulo8"/>
    <w:uiPriority w:val="9"/>
    <w:rsid w:val="00911AA3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tulo9Car">
    <w:name w:val="Título 9 Car"/>
    <w:basedOn w:val="Fuentedeprrafopredeter"/>
    <w:link w:val="Ttulo9"/>
    <w:uiPriority w:val="9"/>
    <w:rsid w:val="00911AA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nfasissutil">
    <w:name w:val="Subtle Emphasis"/>
    <w:basedOn w:val="Fuentedeprrafopredeter"/>
    <w:uiPriority w:val="19"/>
    <w:qFormat/>
    <w:rsid w:val="003D1A67"/>
    <w:rPr>
      <w:i/>
      <w:iCs/>
      <w:color w:val="auto"/>
    </w:rPr>
  </w:style>
  <w:style w:type="character" w:styleId="nfasis">
    <w:name w:val="Emphasis"/>
    <w:basedOn w:val="Fuentedeprrafopredeter"/>
    <w:uiPriority w:val="20"/>
    <w:qFormat/>
    <w:rsid w:val="003D1A67"/>
    <w:rPr>
      <w:b/>
      <w:i w:val="0"/>
      <w:iCs/>
    </w:rPr>
  </w:style>
  <w:style w:type="character" w:styleId="nfasisintenso">
    <w:name w:val="Intense Emphasis"/>
    <w:basedOn w:val="Fuentedeprrafopredeter"/>
    <w:uiPriority w:val="21"/>
    <w:qFormat/>
    <w:rsid w:val="00911AA3"/>
    <w:rPr>
      <w:i/>
      <w:iCs/>
      <w:color w:val="DB0D15" w:themeColor="accent1"/>
    </w:rPr>
  </w:style>
  <w:style w:type="character" w:styleId="Fuerte">
    <w:name w:val="Strong"/>
    <w:basedOn w:val="Fuentedeprrafopredeter"/>
    <w:uiPriority w:val="22"/>
    <w:qFormat/>
    <w:rsid w:val="00911AA3"/>
    <w:rPr>
      <w:b/>
      <w:bCs/>
    </w:rPr>
  </w:style>
  <w:style w:type="paragraph" w:styleId="Cita">
    <w:name w:val="Quote"/>
    <w:basedOn w:val="Normal"/>
    <w:next w:val="Normal"/>
    <w:link w:val="CitaCar"/>
    <w:uiPriority w:val="29"/>
    <w:qFormat/>
    <w:rsid w:val="00843BB5"/>
    <w:pPr>
      <w:spacing w:before="320" w:after="280"/>
      <w:ind w:right="1701"/>
    </w:pPr>
    <w:rPr>
      <w:rFonts w:ascii="Montserrat" w:hAnsi="Montserrat"/>
      <w:b/>
      <w:iCs/>
      <w:color w:val="DB0D15" w:themeColor="accent1"/>
      <w:sz w:val="32"/>
    </w:rPr>
  </w:style>
  <w:style w:type="character" w:customStyle="1" w:styleId="CitaCar">
    <w:name w:val="Cita Car"/>
    <w:basedOn w:val="Fuentedeprrafopredeter"/>
    <w:link w:val="Cita"/>
    <w:uiPriority w:val="29"/>
    <w:rsid w:val="00843BB5"/>
    <w:rPr>
      <w:rFonts w:ascii="Montserrat" w:hAnsi="Montserrat"/>
      <w:b/>
      <w:iCs/>
      <w:color w:val="DB0D15" w:themeColor="accent1"/>
      <w:sz w:val="32"/>
    </w:rPr>
  </w:style>
  <w:style w:type="paragraph" w:styleId="Citadestacada">
    <w:name w:val="Intense Quote"/>
    <w:basedOn w:val="Normal"/>
    <w:next w:val="Normal"/>
    <w:link w:val="CitadestacadaCar"/>
    <w:uiPriority w:val="30"/>
    <w:rsid w:val="00911AA3"/>
    <w:pPr>
      <w:pBdr>
        <w:top w:val="single" w:sz="4" w:space="10" w:color="DB0D15" w:themeColor="accent1"/>
        <w:bottom w:val="single" w:sz="4" w:space="10" w:color="DB0D15" w:themeColor="accent1"/>
      </w:pBdr>
      <w:spacing w:before="360" w:after="360"/>
      <w:ind w:left="864" w:right="864"/>
      <w:jc w:val="center"/>
    </w:pPr>
    <w:rPr>
      <w:i/>
      <w:iCs/>
      <w:color w:val="DB0D15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911AA3"/>
    <w:rPr>
      <w:i/>
      <w:iCs/>
      <w:color w:val="DB0D15" w:themeColor="accent1"/>
    </w:rPr>
  </w:style>
  <w:style w:type="character" w:styleId="Referenciasutil">
    <w:name w:val="Subtle Reference"/>
    <w:basedOn w:val="Fuentedeprrafopredeter"/>
    <w:uiPriority w:val="31"/>
    <w:rsid w:val="00911AA3"/>
    <w:rPr>
      <w:smallCaps/>
      <w:color w:val="5A5A5A" w:themeColor="text1" w:themeTint="A5"/>
    </w:rPr>
  </w:style>
  <w:style w:type="paragraph" w:styleId="Prrafodelista">
    <w:name w:val="List Paragraph"/>
    <w:aliases w:val="Indented Text,Indented (Quote),Main numbered paragraph,Bullet1,Bullets,References,Titre1,List Paragraph (numbered (a)),Lapis Bulleted List,WB Para,List Paragraph1,Paragraphe  revu,Numbered List Paragraph,Liste 1,List Bullet Mary,Dot pt"/>
    <w:basedOn w:val="Normal"/>
    <w:link w:val="PrrafodelistaCar"/>
    <w:uiPriority w:val="34"/>
    <w:qFormat/>
    <w:rsid w:val="00911AA3"/>
    <w:pPr>
      <w:ind w:left="720"/>
      <w:contextualSpacing/>
    </w:pPr>
  </w:style>
  <w:style w:type="character" w:styleId="Ttulodellibro">
    <w:name w:val="Book Title"/>
    <w:basedOn w:val="Fuentedeprrafopredeter"/>
    <w:uiPriority w:val="33"/>
    <w:rsid w:val="00911AA3"/>
    <w:rPr>
      <w:b/>
      <w:bCs/>
      <w:i/>
      <w:iCs/>
      <w:spacing w:val="5"/>
    </w:rPr>
  </w:style>
  <w:style w:type="character" w:styleId="Mencinsinresolver">
    <w:name w:val="Unresolved Mention"/>
    <w:basedOn w:val="Fuentedeprrafopredeter"/>
    <w:uiPriority w:val="99"/>
    <w:semiHidden/>
    <w:unhideWhenUsed/>
    <w:rsid w:val="00AF3946"/>
    <w:rPr>
      <w:color w:val="605E5C"/>
      <w:shd w:val="clear" w:color="auto" w:fill="E1DFDD"/>
    </w:rPr>
  </w:style>
  <w:style w:type="paragraph" w:customStyle="1" w:styleId="xmsonormal">
    <w:name w:val="x_msonormal"/>
    <w:basedOn w:val="Normal"/>
    <w:rsid w:val="00634BF1"/>
    <w:pPr>
      <w:spacing w:before="0" w:after="0" w:line="240" w:lineRule="auto"/>
    </w:pPr>
    <w:rPr>
      <w:rFonts w:ascii="Calibri" w:hAnsi="Calibri" w:cs="Calibri"/>
      <w:sz w:val="22"/>
      <w:lang w:eastAsia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634BF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634BF1"/>
    <w:pPr>
      <w:spacing w:before="0" w:after="160"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634BF1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233D60"/>
    <w:pPr>
      <w:spacing w:before="120" w:after="120"/>
    </w:pPr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233D60"/>
    <w:rPr>
      <w:b/>
      <w:bCs/>
      <w:sz w:val="20"/>
      <w:szCs w:val="20"/>
    </w:rPr>
  </w:style>
  <w:style w:type="character" w:customStyle="1" w:styleId="PrrafodelistaCar">
    <w:name w:val="Párrafo de lista Car"/>
    <w:aliases w:val="Indented Text Car,Indented (Quote) Car,Main numbered paragraph Car,Bullet1 Car,Bullets Car,References Car,Titre1 Car,List Paragraph (numbered (a)) Car,Lapis Bulleted List Car,WB Para Car,List Paragraph1 Car,Paragraphe  revu Car"/>
    <w:link w:val="Prrafodelista"/>
    <w:uiPriority w:val="34"/>
    <w:qFormat/>
    <w:locked/>
    <w:rsid w:val="00B35868"/>
    <w:rPr>
      <w:sz w:val="21"/>
    </w:rPr>
  </w:style>
  <w:style w:type="paragraph" w:styleId="Revisin">
    <w:name w:val="Revision"/>
    <w:hidden/>
    <w:uiPriority w:val="99"/>
    <w:semiHidden/>
    <w:rsid w:val="00597E36"/>
    <w:pPr>
      <w:spacing w:after="0" w:line="240" w:lineRule="auto"/>
    </w:pPr>
    <w:rPr>
      <w:sz w:val="21"/>
    </w:rPr>
  </w:style>
  <w:style w:type="character" w:styleId="SmartLink">
    <w:name w:val="Smart Link"/>
    <w:basedOn w:val="Fuentedeprrafopredeter"/>
    <w:uiPriority w:val="99"/>
    <w:semiHidden/>
    <w:unhideWhenUsed/>
    <w:rsid w:val="006679A3"/>
    <w:rPr>
      <w:color w:val="0000FF"/>
      <w:u w:val="single"/>
      <w:shd w:val="clear" w:color="auto" w:fill="F3F2F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9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04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1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63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0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6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scae.com" TargetMode="External"/><Relationship Id="rId1" Type="http://schemas.openxmlformats.org/officeDocument/2006/relationships/hyperlink" Target="mailto:comunicaci&#243;n@cscae.com" TargetMode="Externa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scae.com" TargetMode="External"/><Relationship Id="rId1" Type="http://schemas.openxmlformats.org/officeDocument/2006/relationships/hyperlink" Target="mailto:comunicaci&#243;n@cscae.com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CSCA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DB0D15"/>
      </a:accent1>
      <a:accent2>
        <a:srgbClr val="ACAA9F"/>
      </a:accent2>
      <a:accent3>
        <a:srgbClr val="1D364E"/>
      </a:accent3>
      <a:accent4>
        <a:srgbClr val="FCEA30"/>
      </a:accent4>
      <a:accent5>
        <a:srgbClr val="FFFFFF"/>
      </a:accent5>
      <a:accent6>
        <a:srgbClr val="FFFFFF"/>
      </a:accent6>
      <a:hlink>
        <a:srgbClr val="DB0D15"/>
      </a:hlink>
      <a:folHlink>
        <a:srgbClr val="DB0D15"/>
      </a:folHlink>
    </a:clrScheme>
    <a:fontScheme name="CSCAE">
      <a:majorFont>
        <a:latin typeface="Montserrat ExtraBold"/>
        <a:ea typeface=""/>
        <a:cs typeface=""/>
      </a:majorFont>
      <a:minorFont>
        <a:latin typeface="Open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811928-D862-4731-A79F-334207B704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1576</Words>
  <Characters>8669</Characters>
  <Application>Microsoft Office Word</Application>
  <DocSecurity>0</DocSecurity>
  <Lines>72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Emilio Ramírez Torrescusa</dc:creator>
  <cp:keywords/>
  <dc:description/>
  <cp:lastModifiedBy>Comunicación CSCAE</cp:lastModifiedBy>
  <cp:revision>2</cp:revision>
  <cp:lastPrinted>2022-05-25T13:39:00Z</cp:lastPrinted>
  <dcterms:created xsi:type="dcterms:W3CDTF">2026-09-14T12:59:00Z</dcterms:created>
  <dcterms:modified xsi:type="dcterms:W3CDTF">2026-09-14T12:59:00Z</dcterms:modified>
</cp:coreProperties>
</file>