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42F078" w14:textId="77777777" w:rsidR="00B97361" w:rsidRPr="00191802" w:rsidRDefault="00F85C6E" w:rsidP="00F85C6E">
      <w:pPr>
        <w:pBdr>
          <w:bottom w:val="single" w:sz="4" w:space="1" w:color="auto"/>
        </w:pBdr>
        <w:spacing w:after="0"/>
        <w:jc w:val="center"/>
        <w:rPr>
          <w:b/>
          <w:bCs/>
          <w:sz w:val="28"/>
          <w:szCs w:val="28"/>
        </w:rPr>
      </w:pPr>
      <w:r>
        <w:rPr>
          <w:b/>
          <w:bCs/>
          <w:sz w:val="28"/>
          <w:szCs w:val="28"/>
        </w:rPr>
        <w:t>ORIENTACIONES</w:t>
      </w:r>
      <w:r w:rsidR="00691C1C" w:rsidRPr="00191802">
        <w:rPr>
          <w:b/>
          <w:bCs/>
          <w:sz w:val="28"/>
          <w:szCs w:val="28"/>
        </w:rPr>
        <w:t xml:space="preserve"> DE ACTUACIÓN </w:t>
      </w:r>
      <w:r>
        <w:rPr>
          <w:b/>
          <w:bCs/>
          <w:sz w:val="28"/>
          <w:szCs w:val="28"/>
        </w:rPr>
        <w:t xml:space="preserve">PROFESIONAL </w:t>
      </w:r>
      <w:r w:rsidR="00691C1C" w:rsidRPr="00191802">
        <w:rPr>
          <w:b/>
          <w:bCs/>
          <w:sz w:val="28"/>
          <w:szCs w:val="28"/>
        </w:rPr>
        <w:t>EN OBRAS DE INTERVENCIÓN EN</w:t>
      </w:r>
      <w:r>
        <w:rPr>
          <w:b/>
          <w:bCs/>
          <w:sz w:val="28"/>
          <w:szCs w:val="28"/>
        </w:rPr>
        <w:t xml:space="preserve"> </w:t>
      </w:r>
      <w:r w:rsidR="00691C1C" w:rsidRPr="00191802">
        <w:rPr>
          <w:b/>
          <w:bCs/>
          <w:sz w:val="28"/>
          <w:szCs w:val="28"/>
        </w:rPr>
        <w:t>EDIFICIOS EXISTENTES</w:t>
      </w:r>
    </w:p>
    <w:p w14:paraId="150FF314" w14:textId="77777777" w:rsidR="00691C1C" w:rsidRDefault="00691C1C"/>
    <w:p w14:paraId="1FED04AF" w14:textId="77777777" w:rsidR="00B97361" w:rsidRDefault="00691C1C">
      <w:r>
        <w:t xml:space="preserve">Ante la casuística y tipología diversa de las obras de intervención en edificios existentes, se han producido dudas de interpretación de la Orden </w:t>
      </w:r>
      <w:proofErr w:type="spellStart"/>
      <w:r>
        <w:t>SND</w:t>
      </w:r>
      <w:proofErr w:type="spellEnd"/>
      <w:r>
        <w:t xml:space="preserve">/340/2020, de 12 de abril, por la que se suspenden </w:t>
      </w:r>
      <w:r w:rsidR="00296798">
        <w:t>determinada</w:t>
      </w:r>
      <w:r>
        <w:t xml:space="preserve">s actividades relacionadas con obras de intervención en edificios existentes en los que exista riesgo de contagio por </w:t>
      </w:r>
      <w:r w:rsidR="00191802">
        <w:t>el</w:t>
      </w:r>
      <w:r>
        <w:t xml:space="preserve"> COVID-19 para personas no relacionadas con dicha actividad. </w:t>
      </w:r>
    </w:p>
    <w:p w14:paraId="62D96CD0" w14:textId="77777777" w:rsidR="008D3F7D" w:rsidRDefault="00F85C6E">
      <w:r>
        <w:t xml:space="preserve">Las presentes orientaciones pretenden servir de apoyo profesional en la aplicación práctica e interpretativa de la referida disposición normativa, </w:t>
      </w:r>
      <w:r w:rsidR="008D3F7D">
        <w:t xml:space="preserve">siempre en el más estricto cumplimiento de las </w:t>
      </w:r>
      <w:r>
        <w:t>recomendaciones</w:t>
      </w:r>
      <w:r w:rsidR="008D3F7D">
        <w:t xml:space="preserve"> establecidas por la autoridad competente</w:t>
      </w:r>
      <w:r>
        <w:t xml:space="preserve"> y, en concreto, por el Ministerio de Sanidad, recomendaciones que son de obligado cumplimiento en todos los supuestos.</w:t>
      </w:r>
    </w:p>
    <w:p w14:paraId="4A304D17" w14:textId="77777777" w:rsidR="008D3F7D" w:rsidRDefault="008D3F7D">
      <w:r>
        <w:t xml:space="preserve">El objetivo de la Orden </w:t>
      </w:r>
      <w:proofErr w:type="spellStart"/>
      <w:r>
        <w:t>SND</w:t>
      </w:r>
      <w:proofErr w:type="spellEnd"/>
      <w:r>
        <w:t>/340/2020</w:t>
      </w:r>
      <w:r w:rsidR="00560E11">
        <w:t>,</w:t>
      </w:r>
      <w:r>
        <w:t xml:space="preserve"> de referencia, es evitar el contagio de</w:t>
      </w:r>
      <w:r w:rsidR="00191802">
        <w:t>l</w:t>
      </w:r>
      <w:r>
        <w:t xml:space="preserve"> COVID-19 por la </w:t>
      </w:r>
      <w:r w:rsidR="003A7859">
        <w:t>interferencia</w:t>
      </w:r>
      <w:r>
        <w:t xml:space="preserve"> de trabajadores de la obra</w:t>
      </w:r>
      <w:r w:rsidR="003A7859">
        <w:t xml:space="preserve"> y la ejecución de </w:t>
      </w:r>
      <w:proofErr w:type="gramStart"/>
      <w:r w:rsidR="003A7859">
        <w:t>la misma</w:t>
      </w:r>
      <w:proofErr w:type="gramEnd"/>
      <w:r>
        <w:t xml:space="preserve">, </w:t>
      </w:r>
      <w:r w:rsidR="003A7859">
        <w:t xml:space="preserve">así como el traslado de materiales, con </w:t>
      </w:r>
      <w:r>
        <w:t xml:space="preserve">residentes y personas que circulan autorizadamente por el edificio, evitando la </w:t>
      </w:r>
      <w:r w:rsidR="003A7859">
        <w:t>interferencia</w:t>
      </w:r>
      <w:r>
        <w:t xml:space="preserve"> de unos y otros.</w:t>
      </w:r>
    </w:p>
    <w:p w14:paraId="3A0A49EA" w14:textId="77777777" w:rsidR="001D7E36" w:rsidRPr="001D7E36" w:rsidRDefault="001D7E36">
      <w:pPr>
        <w:rPr>
          <w:b/>
          <w:bCs/>
        </w:rPr>
      </w:pPr>
      <w:r w:rsidRPr="001D7E36">
        <w:rPr>
          <w:b/>
          <w:bCs/>
        </w:rPr>
        <w:t>PRIMERO</w:t>
      </w:r>
    </w:p>
    <w:p w14:paraId="37C278B0" w14:textId="77777777" w:rsidR="0097339C" w:rsidRDefault="00AB574A">
      <w:r>
        <w:t xml:space="preserve">La prescripción general, conforme al </w:t>
      </w:r>
      <w:r w:rsidR="00CC00EF">
        <w:t>A</w:t>
      </w:r>
      <w:r>
        <w:t xml:space="preserve">rtículo </w:t>
      </w:r>
      <w:r w:rsidR="00CC00EF">
        <w:t>ú</w:t>
      </w:r>
      <w:r>
        <w:t xml:space="preserve">nico.1 de la Orden </w:t>
      </w:r>
      <w:proofErr w:type="spellStart"/>
      <w:r>
        <w:t>SND</w:t>
      </w:r>
      <w:proofErr w:type="spellEnd"/>
      <w:r>
        <w:t xml:space="preserve">/340/2020, de 12 de abril, es la suspensión de toda clase de obras que supongan intervenciones en edificios existentes cuando exista interferencia con personas no relacionadas con la actividad de las obras, en aspectos tales como la propia ejecución de la obra, el movimiento de trabajadores o traslado de materiales. </w:t>
      </w:r>
    </w:p>
    <w:p w14:paraId="3A9CDA3E" w14:textId="77777777" w:rsidR="0097339C" w:rsidRPr="0097339C" w:rsidRDefault="0097339C">
      <w:pPr>
        <w:rPr>
          <w:b/>
          <w:bCs/>
        </w:rPr>
      </w:pPr>
      <w:r w:rsidRPr="0097339C">
        <w:rPr>
          <w:b/>
          <w:bCs/>
        </w:rPr>
        <w:t>SEGUNDO</w:t>
      </w:r>
    </w:p>
    <w:p w14:paraId="2E6D625A" w14:textId="77777777" w:rsidR="001D7E36" w:rsidRDefault="00560E11">
      <w:r>
        <w:t xml:space="preserve">En estricto cumplimiento de las medidas de control sanitario de las obras en edificios existentes, se considera </w:t>
      </w:r>
      <w:r w:rsidR="00636FC6">
        <w:t xml:space="preserve">que </w:t>
      </w:r>
      <w:r w:rsidR="003A7859">
        <w:t xml:space="preserve">estarían exceptuadas de la prescripción general de suspensión y, por tanto, pueden realizarse o continuarse aquellas </w:t>
      </w:r>
      <w:r w:rsidR="00636FC6">
        <w:t xml:space="preserve">obras </w:t>
      </w:r>
      <w:r w:rsidR="003A7859">
        <w:t xml:space="preserve">en las que pueda establecerse </w:t>
      </w:r>
      <w:r w:rsidR="00636FC6">
        <w:t xml:space="preserve">una sectorización adecuada y suficiente </w:t>
      </w:r>
      <w:r w:rsidR="003A7859">
        <w:t xml:space="preserve">a tenor de lo dispuesto en el </w:t>
      </w:r>
      <w:r w:rsidR="00CC00EF">
        <w:t>A</w:t>
      </w:r>
      <w:r w:rsidR="003A7859">
        <w:t xml:space="preserve">rtículo único.2 de la Orden </w:t>
      </w:r>
      <w:proofErr w:type="spellStart"/>
      <w:r w:rsidR="003A7859">
        <w:t>SND</w:t>
      </w:r>
      <w:proofErr w:type="spellEnd"/>
      <w:r w:rsidR="003A7859">
        <w:t>/340/2020, teniendo en cuenta el criterio general de que no se produzca interferencia con las personas no relacionadas con la actividad de la obra. Así, cabe citar, sin ánimo exhaustivo, los siguientes supuestos</w:t>
      </w:r>
      <w:r w:rsidR="00636FC6">
        <w:t>:</w:t>
      </w:r>
    </w:p>
    <w:p w14:paraId="3562EAC4" w14:textId="77777777" w:rsidR="00636FC6" w:rsidRDefault="00296798" w:rsidP="00296798">
      <w:pPr>
        <w:pStyle w:val="Prrafodelista"/>
        <w:numPr>
          <w:ilvl w:val="0"/>
          <w:numId w:val="1"/>
        </w:numPr>
      </w:pPr>
      <w:r>
        <w:t xml:space="preserve">Intervenciones en </w:t>
      </w:r>
      <w:r w:rsidR="003E665C">
        <w:t xml:space="preserve">edificios, </w:t>
      </w:r>
      <w:r>
        <w:t>viviendas o locales vacíos</w:t>
      </w:r>
      <w:r w:rsidR="00191802">
        <w:t>.</w:t>
      </w:r>
    </w:p>
    <w:p w14:paraId="2ED53367" w14:textId="77777777" w:rsidR="00296798" w:rsidRDefault="00296798" w:rsidP="00296798">
      <w:pPr>
        <w:pStyle w:val="Prrafodelista"/>
        <w:numPr>
          <w:ilvl w:val="0"/>
          <w:numId w:val="1"/>
        </w:numPr>
      </w:pPr>
      <w:r>
        <w:t xml:space="preserve">Intervenciones en </w:t>
      </w:r>
      <w:r w:rsidR="003E665C">
        <w:t xml:space="preserve">edificios, </w:t>
      </w:r>
      <w:r>
        <w:t>viviendas o locales con acceso directo desde la</w:t>
      </w:r>
      <w:r w:rsidR="002F55F9">
        <w:t>s vías o espacios de uso público</w:t>
      </w:r>
      <w:r w:rsidR="00191802">
        <w:t>.</w:t>
      </w:r>
    </w:p>
    <w:p w14:paraId="4421B3DC" w14:textId="77777777" w:rsidR="00296798" w:rsidRDefault="00296798" w:rsidP="00296798">
      <w:pPr>
        <w:pStyle w:val="Prrafodelista"/>
        <w:numPr>
          <w:ilvl w:val="0"/>
          <w:numId w:val="1"/>
        </w:numPr>
      </w:pPr>
      <w:r>
        <w:t xml:space="preserve">Intervenciones en cubiertas, fachadas y otros elementos comunes </w:t>
      </w:r>
      <w:r w:rsidR="003E665C">
        <w:t xml:space="preserve">de los edificios existentes </w:t>
      </w:r>
      <w:r>
        <w:t xml:space="preserve">a los que los trabajadores puedan acceder desde el exterior, siempre cuidando la distancia y las medidas sanitarias de </w:t>
      </w:r>
      <w:r w:rsidR="003A7859">
        <w:t>interferencia</w:t>
      </w:r>
      <w:r>
        <w:t xml:space="preserve"> con los viandantes</w:t>
      </w:r>
      <w:r w:rsidR="00191802">
        <w:t>.</w:t>
      </w:r>
    </w:p>
    <w:p w14:paraId="5BFDD6A9" w14:textId="77777777" w:rsidR="00296798" w:rsidRDefault="00296798" w:rsidP="00296798">
      <w:pPr>
        <w:pStyle w:val="Prrafodelista"/>
        <w:numPr>
          <w:ilvl w:val="0"/>
          <w:numId w:val="1"/>
        </w:numPr>
      </w:pPr>
      <w:r>
        <w:t xml:space="preserve">Intervenciones en el perímetro de los edificios, en zonas ajardinadas o deportivas comunes, teniendo en cuenta la distancia de </w:t>
      </w:r>
      <w:r w:rsidR="003A7859">
        <w:t>interferencia</w:t>
      </w:r>
      <w:r>
        <w:t xml:space="preserve"> con residentes o personas autorizadas al tránsito por el edificio</w:t>
      </w:r>
      <w:r w:rsidR="003E665C">
        <w:t>; así como en otras zonas sectorizadas o que puedan sectorizarse del edificio.</w:t>
      </w:r>
    </w:p>
    <w:p w14:paraId="34210622" w14:textId="216E5F11" w:rsidR="00296798" w:rsidRDefault="00296798" w:rsidP="00296798">
      <w:pPr>
        <w:pStyle w:val="Prrafodelista"/>
        <w:numPr>
          <w:ilvl w:val="0"/>
          <w:numId w:val="1"/>
        </w:numPr>
      </w:pPr>
      <w:r>
        <w:t xml:space="preserve">Intervenciones en el edificio cuando </w:t>
      </w:r>
      <w:r w:rsidR="00DF3EBE">
        <w:t>é</w:t>
      </w:r>
      <w:r>
        <w:t xml:space="preserve">ste cuenta con varias salidas y tránsitos diferenciados por las zonas comunes, permitiendo, así, evitar toda </w:t>
      </w:r>
      <w:r w:rsidR="003A7859">
        <w:t>interferencia</w:t>
      </w:r>
      <w:r>
        <w:t xml:space="preserve"> de trabajadores con residentes o personas autorizadas al tránsito por el edificio, señalizando y bloqueando adecuadamente los pasos de una a otra zona.</w:t>
      </w:r>
    </w:p>
    <w:p w14:paraId="71F5200A" w14:textId="77777777" w:rsidR="00296798" w:rsidRDefault="00296798" w:rsidP="00296798">
      <w:pPr>
        <w:pStyle w:val="Prrafodelista"/>
        <w:numPr>
          <w:ilvl w:val="0"/>
          <w:numId w:val="1"/>
        </w:numPr>
      </w:pPr>
      <w:r>
        <w:lastRenderedPageBreak/>
        <w:t xml:space="preserve">Intervenciones en edificios que, aunque dispongan de una única salida, no obstante, tengan espacio suficiente en sus zonas comunes para que no haya </w:t>
      </w:r>
      <w:r w:rsidR="003A7859">
        <w:t>interferencia</w:t>
      </w:r>
      <w:r>
        <w:t xml:space="preserve"> entre trabajadores y residentes o personas autorizadas al tránsito por el edificio, como es el caso de aquellos edificios que cuenten con un portal de amplio espacio en el que sea posible acotar los tránsitos diferenciados de unos y otros y aquellos edificios que cuentan con montacargas, varios ascensores o varias escaleras que permitan evitar la </w:t>
      </w:r>
      <w:r w:rsidR="003A7859">
        <w:t>interferencia</w:t>
      </w:r>
      <w:r>
        <w:t>.</w:t>
      </w:r>
    </w:p>
    <w:p w14:paraId="63DB09BB" w14:textId="77777777" w:rsidR="001728C1" w:rsidRPr="00DA0884" w:rsidRDefault="001728C1" w:rsidP="001728C1">
      <w:pPr>
        <w:rPr>
          <w:b/>
          <w:bCs/>
        </w:rPr>
      </w:pPr>
      <w:r>
        <w:rPr>
          <w:b/>
          <w:bCs/>
        </w:rPr>
        <w:t>TERCERO</w:t>
      </w:r>
    </w:p>
    <w:p w14:paraId="65112C90" w14:textId="77777777" w:rsidR="001539EF" w:rsidRDefault="003A7859" w:rsidP="001728C1">
      <w:r>
        <w:t>La</w:t>
      </w:r>
      <w:r w:rsidR="001728C1">
        <w:t xml:space="preserve">s correspondientes medidas de prevención de seguridad y salud </w:t>
      </w:r>
      <w:r>
        <w:t>se incorporarán</w:t>
      </w:r>
      <w:r w:rsidR="00520E0C">
        <w:t>, por el constructor,</w:t>
      </w:r>
      <w:r>
        <w:t xml:space="preserve"> a</w:t>
      </w:r>
      <w:r w:rsidR="001728C1">
        <w:t xml:space="preserve"> un protocolo o, en su caso, </w:t>
      </w:r>
      <w:r>
        <w:t>a</w:t>
      </w:r>
      <w:r w:rsidR="001728C1">
        <w:t xml:space="preserve"> un anexo al Plan de Seguridad y Salud de la obra, que </w:t>
      </w:r>
      <w:r>
        <w:t>aprobará e</w:t>
      </w:r>
      <w:r w:rsidR="001728C1">
        <w:t>l coordinador de seguridad y salud o, en su caso, la dirección facultativa cuando esta asuma las funciones de coordinación de seguridad y salud.</w:t>
      </w:r>
    </w:p>
    <w:p w14:paraId="5EE78426" w14:textId="77777777" w:rsidR="001728C1" w:rsidRPr="001728C1" w:rsidRDefault="001728C1" w:rsidP="00DA0884">
      <w:pPr>
        <w:rPr>
          <w:b/>
          <w:bCs/>
        </w:rPr>
      </w:pPr>
      <w:r w:rsidRPr="001728C1">
        <w:rPr>
          <w:b/>
          <w:bCs/>
        </w:rPr>
        <w:t>CUARTO</w:t>
      </w:r>
    </w:p>
    <w:p w14:paraId="72C59EF6" w14:textId="77777777" w:rsidR="00DA0884" w:rsidRDefault="00DA0884" w:rsidP="00DA0884">
      <w:r>
        <w:t xml:space="preserve">En función de la literalidad de la Orden </w:t>
      </w:r>
      <w:proofErr w:type="spellStart"/>
      <w:r>
        <w:t>SND</w:t>
      </w:r>
      <w:proofErr w:type="spellEnd"/>
      <w:r w:rsidR="001728C1">
        <w:t>/</w:t>
      </w:r>
      <w:r>
        <w:t xml:space="preserve">340/2020, de referencia, siempre podrán realizarse reparaciones de urgencia, incluyendo averías en instalaciones </w:t>
      </w:r>
      <w:r w:rsidR="00191802">
        <w:t>o reparaciones motivadas por seguridad para el edificio y las personas, en cumplimiento de requerimientos técnicos y exigencias normativas del sector de la edificación.</w:t>
      </w:r>
      <w:r w:rsidR="001539EF">
        <w:t xml:space="preserve"> Así como tareas de vigilancia.</w:t>
      </w:r>
    </w:p>
    <w:p w14:paraId="2270388F" w14:textId="77777777" w:rsidR="00191802" w:rsidRPr="00191802" w:rsidRDefault="001728C1" w:rsidP="00DA0884">
      <w:pPr>
        <w:rPr>
          <w:b/>
          <w:bCs/>
        </w:rPr>
      </w:pPr>
      <w:r>
        <w:rPr>
          <w:b/>
          <w:bCs/>
        </w:rPr>
        <w:t>QUINTO</w:t>
      </w:r>
    </w:p>
    <w:p w14:paraId="46367CB9" w14:textId="069901EC" w:rsidR="00191802" w:rsidRDefault="00191802" w:rsidP="00DA0884">
      <w:r>
        <w:t xml:space="preserve">En todo momento, y </w:t>
      </w:r>
      <w:r w:rsidR="00DF3EBE">
        <w:t>cualesquiera</w:t>
      </w:r>
      <w:r>
        <w:t xml:space="preserve"> que sean las circunstancias que permitan la continuidad de las obras en edificios existentes, se respetarán los mayores niveles </w:t>
      </w:r>
      <w:r w:rsidR="001539EF">
        <w:t xml:space="preserve">o requerimientos </w:t>
      </w:r>
      <w:r>
        <w:t xml:space="preserve">de cumplimiento de las </w:t>
      </w:r>
      <w:r w:rsidR="001539EF">
        <w:t>recomendaciones y demás medidas de control sanitario</w:t>
      </w:r>
      <w:r>
        <w:t xml:space="preserve"> exigidas por la</w:t>
      </w:r>
      <w:r w:rsidR="001539EF">
        <w:t>s</w:t>
      </w:r>
      <w:r>
        <w:t xml:space="preserve"> autoridad</w:t>
      </w:r>
      <w:r w:rsidR="001539EF">
        <w:t xml:space="preserve">es </w:t>
      </w:r>
      <w:r>
        <w:t>competentes</w:t>
      </w:r>
      <w:r w:rsidR="001539EF">
        <w:t xml:space="preserve"> y siempre las indicaciones del Ministerio de Sanidad. </w:t>
      </w:r>
    </w:p>
    <w:p w14:paraId="335B9695" w14:textId="77777777" w:rsidR="00191802" w:rsidRDefault="001728C1" w:rsidP="00DA0884">
      <w:r>
        <w:t xml:space="preserve">Se ha solicitado al Ministerio de Sanidad las correspondientes aclaraciones sobre la interpretación de la Orden </w:t>
      </w:r>
      <w:proofErr w:type="spellStart"/>
      <w:r>
        <w:t>SND</w:t>
      </w:r>
      <w:proofErr w:type="spellEnd"/>
      <w:r>
        <w:t>/340/2020, de 12 de abril, teniendo en cuenta el casuismo de esta cuestión con el fin de que la autoridad competente pueda emitir una opinión al respecto.</w:t>
      </w:r>
    </w:p>
    <w:p w14:paraId="5BAC8FA5" w14:textId="77777777" w:rsidR="00191802" w:rsidRDefault="00191802" w:rsidP="00DA0884"/>
    <w:p w14:paraId="060F8BA8" w14:textId="7ED8125E" w:rsidR="00191802" w:rsidRDefault="00D12605" w:rsidP="00DA0884">
      <w:pPr>
        <w:rPr>
          <w:b/>
          <w:bCs/>
        </w:rPr>
      </w:pPr>
      <w:r w:rsidRPr="00D12605">
        <w:rPr>
          <w:b/>
          <w:bCs/>
        </w:rPr>
        <w:t>CUADRO RESUMEN</w:t>
      </w:r>
    </w:p>
    <w:tbl>
      <w:tblPr>
        <w:tblW w:w="8495" w:type="dxa"/>
        <w:tblCellMar>
          <w:left w:w="70" w:type="dxa"/>
          <w:right w:w="70" w:type="dxa"/>
        </w:tblCellMar>
        <w:tblLook w:val="04A0" w:firstRow="1" w:lastRow="0" w:firstColumn="1" w:lastColumn="0" w:noHBand="0" w:noVBand="1"/>
      </w:tblPr>
      <w:tblGrid>
        <w:gridCol w:w="1266"/>
        <w:gridCol w:w="1134"/>
        <w:gridCol w:w="1276"/>
        <w:gridCol w:w="4819"/>
      </w:tblGrid>
      <w:tr w:rsidR="00D12605" w:rsidRPr="00D12605" w14:paraId="61953BE4" w14:textId="77777777" w:rsidTr="00D12605">
        <w:trPr>
          <w:trHeight w:val="315"/>
        </w:trPr>
        <w:tc>
          <w:tcPr>
            <w:tcW w:w="1266" w:type="dxa"/>
            <w:tcBorders>
              <w:top w:val="single" w:sz="8" w:space="0" w:color="auto"/>
              <w:left w:val="single" w:sz="8" w:space="0" w:color="auto"/>
              <w:bottom w:val="single" w:sz="8" w:space="0" w:color="auto"/>
              <w:right w:val="single" w:sz="4" w:space="0" w:color="auto"/>
            </w:tcBorders>
            <w:shd w:val="clear" w:color="000000" w:fill="BFBFBF"/>
            <w:vAlign w:val="bottom"/>
            <w:hideMark/>
          </w:tcPr>
          <w:p w14:paraId="2ED18E87"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r w:rsidRPr="00D12605">
              <w:rPr>
                <w:rFonts w:ascii="Calibri" w:eastAsia="Times New Roman" w:hAnsi="Calibri" w:cs="Calibri"/>
                <w:b/>
                <w:bCs/>
                <w:color w:val="000000"/>
                <w:sz w:val="16"/>
                <w:szCs w:val="16"/>
                <w:lang w:eastAsia="es-ES"/>
              </w:rPr>
              <w:t>Tipo</w:t>
            </w:r>
          </w:p>
        </w:tc>
        <w:tc>
          <w:tcPr>
            <w:tcW w:w="1134" w:type="dxa"/>
            <w:tcBorders>
              <w:top w:val="single" w:sz="8" w:space="0" w:color="auto"/>
              <w:left w:val="nil"/>
              <w:bottom w:val="single" w:sz="8" w:space="0" w:color="auto"/>
              <w:right w:val="nil"/>
            </w:tcBorders>
            <w:shd w:val="clear" w:color="000000" w:fill="BFBFBF"/>
            <w:vAlign w:val="bottom"/>
            <w:hideMark/>
          </w:tcPr>
          <w:p w14:paraId="38559CCC"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r w:rsidRPr="00D12605">
              <w:rPr>
                <w:rFonts w:ascii="Calibri" w:eastAsia="Times New Roman" w:hAnsi="Calibri" w:cs="Calibri"/>
                <w:b/>
                <w:bCs/>
                <w:color w:val="000000"/>
                <w:sz w:val="16"/>
                <w:szCs w:val="16"/>
                <w:lang w:eastAsia="es-ES"/>
              </w:rPr>
              <w:t>Categoría</w:t>
            </w:r>
          </w:p>
        </w:tc>
        <w:tc>
          <w:tcPr>
            <w:tcW w:w="1276" w:type="dxa"/>
            <w:tcBorders>
              <w:top w:val="single" w:sz="8" w:space="0" w:color="auto"/>
              <w:left w:val="single" w:sz="8" w:space="0" w:color="auto"/>
              <w:bottom w:val="single" w:sz="8" w:space="0" w:color="auto"/>
              <w:right w:val="single" w:sz="8" w:space="0" w:color="auto"/>
            </w:tcBorders>
            <w:shd w:val="clear" w:color="000000" w:fill="BFBFBF"/>
            <w:vAlign w:val="bottom"/>
            <w:hideMark/>
          </w:tcPr>
          <w:p w14:paraId="476D0A16"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r w:rsidRPr="00D12605">
              <w:rPr>
                <w:rFonts w:ascii="Calibri" w:eastAsia="Times New Roman" w:hAnsi="Calibri" w:cs="Calibri"/>
                <w:b/>
                <w:bCs/>
                <w:color w:val="000000"/>
                <w:sz w:val="16"/>
                <w:szCs w:val="16"/>
                <w:lang w:eastAsia="es-ES"/>
              </w:rPr>
              <w:t>Contacto con residentes</w:t>
            </w:r>
          </w:p>
        </w:tc>
        <w:tc>
          <w:tcPr>
            <w:tcW w:w="4819" w:type="dxa"/>
            <w:tcBorders>
              <w:top w:val="single" w:sz="8" w:space="0" w:color="auto"/>
              <w:left w:val="nil"/>
              <w:bottom w:val="single" w:sz="8" w:space="0" w:color="auto"/>
              <w:right w:val="single" w:sz="8" w:space="0" w:color="auto"/>
            </w:tcBorders>
            <w:shd w:val="clear" w:color="000000" w:fill="BFBFBF"/>
            <w:vAlign w:val="bottom"/>
            <w:hideMark/>
          </w:tcPr>
          <w:p w14:paraId="3D28CEE0"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r w:rsidRPr="00D12605">
              <w:rPr>
                <w:rFonts w:ascii="Calibri" w:eastAsia="Times New Roman" w:hAnsi="Calibri" w:cs="Calibri"/>
                <w:b/>
                <w:bCs/>
                <w:color w:val="000000"/>
                <w:sz w:val="16"/>
                <w:szCs w:val="16"/>
                <w:lang w:eastAsia="es-ES"/>
              </w:rPr>
              <w:t xml:space="preserve">OBSERVACIONES </w:t>
            </w:r>
          </w:p>
        </w:tc>
      </w:tr>
      <w:tr w:rsidR="00D12605" w:rsidRPr="00D12605" w14:paraId="06732A92" w14:textId="77777777" w:rsidTr="00D12605">
        <w:trPr>
          <w:trHeight w:val="300"/>
        </w:trPr>
        <w:tc>
          <w:tcPr>
            <w:tcW w:w="1266" w:type="dxa"/>
            <w:tcBorders>
              <w:top w:val="nil"/>
              <w:left w:val="single" w:sz="8" w:space="0" w:color="auto"/>
              <w:bottom w:val="single" w:sz="4" w:space="0" w:color="auto"/>
              <w:right w:val="single" w:sz="4" w:space="0" w:color="auto"/>
            </w:tcBorders>
            <w:shd w:val="clear" w:color="000000" w:fill="D9D9D9"/>
            <w:vAlign w:val="bottom"/>
            <w:hideMark/>
          </w:tcPr>
          <w:p w14:paraId="352795D6"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r w:rsidRPr="00D12605">
              <w:rPr>
                <w:rFonts w:ascii="Calibri" w:eastAsia="Times New Roman" w:hAnsi="Calibri" w:cs="Calibri"/>
                <w:b/>
                <w:bCs/>
                <w:color w:val="000000"/>
                <w:sz w:val="16"/>
                <w:szCs w:val="16"/>
                <w:lang w:eastAsia="es-ES"/>
              </w:rPr>
              <w:t>Nueva planta</w:t>
            </w:r>
          </w:p>
        </w:tc>
        <w:tc>
          <w:tcPr>
            <w:tcW w:w="1134" w:type="dxa"/>
            <w:tcBorders>
              <w:top w:val="nil"/>
              <w:left w:val="nil"/>
              <w:bottom w:val="single" w:sz="4" w:space="0" w:color="auto"/>
              <w:right w:val="single" w:sz="4" w:space="0" w:color="auto"/>
            </w:tcBorders>
            <w:shd w:val="clear" w:color="auto" w:fill="auto"/>
            <w:vAlign w:val="bottom"/>
            <w:hideMark/>
          </w:tcPr>
          <w:p w14:paraId="4AABFDD2"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w:t>
            </w:r>
          </w:p>
        </w:tc>
        <w:tc>
          <w:tcPr>
            <w:tcW w:w="1276" w:type="dxa"/>
            <w:tcBorders>
              <w:top w:val="nil"/>
              <w:left w:val="nil"/>
              <w:bottom w:val="single" w:sz="4" w:space="0" w:color="auto"/>
              <w:right w:val="single" w:sz="4" w:space="0" w:color="auto"/>
            </w:tcBorders>
            <w:shd w:val="clear" w:color="auto" w:fill="auto"/>
            <w:vAlign w:val="bottom"/>
            <w:hideMark/>
          </w:tcPr>
          <w:p w14:paraId="43353B47"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xml:space="preserve">No </w:t>
            </w:r>
          </w:p>
        </w:tc>
        <w:tc>
          <w:tcPr>
            <w:tcW w:w="4819" w:type="dxa"/>
            <w:tcBorders>
              <w:top w:val="nil"/>
              <w:left w:val="nil"/>
              <w:bottom w:val="single" w:sz="4" w:space="0" w:color="auto"/>
              <w:right w:val="single" w:sz="8" w:space="0" w:color="auto"/>
            </w:tcBorders>
            <w:shd w:val="clear" w:color="auto" w:fill="auto"/>
            <w:vAlign w:val="bottom"/>
            <w:hideMark/>
          </w:tcPr>
          <w:p w14:paraId="6C2FF266"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Cumple con las especificaciones de apertura de actividad por parte del RD.</w:t>
            </w:r>
          </w:p>
        </w:tc>
      </w:tr>
      <w:tr w:rsidR="00D12605" w:rsidRPr="00D12605" w14:paraId="40CD6754" w14:textId="77777777" w:rsidTr="00D12605">
        <w:trPr>
          <w:trHeight w:val="300"/>
        </w:trPr>
        <w:tc>
          <w:tcPr>
            <w:tcW w:w="1266" w:type="dxa"/>
            <w:tcBorders>
              <w:top w:val="nil"/>
              <w:left w:val="single" w:sz="8" w:space="0" w:color="auto"/>
              <w:bottom w:val="single" w:sz="4" w:space="0" w:color="auto"/>
              <w:right w:val="single" w:sz="4" w:space="0" w:color="auto"/>
            </w:tcBorders>
            <w:shd w:val="clear" w:color="000000" w:fill="D9D9D9"/>
            <w:vAlign w:val="bottom"/>
            <w:hideMark/>
          </w:tcPr>
          <w:p w14:paraId="0B34CBBB"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r w:rsidRPr="00D12605">
              <w:rPr>
                <w:rFonts w:ascii="Calibri" w:eastAsia="Times New Roman" w:hAnsi="Calibri" w:cs="Calibri"/>
                <w:b/>
                <w:bCs/>
                <w:color w:val="000000"/>
                <w:sz w:val="16"/>
                <w:szCs w:val="16"/>
                <w:lang w:eastAsia="es-ES"/>
              </w:rPr>
              <w:t>Derribos</w:t>
            </w:r>
          </w:p>
        </w:tc>
        <w:tc>
          <w:tcPr>
            <w:tcW w:w="1134" w:type="dxa"/>
            <w:tcBorders>
              <w:top w:val="nil"/>
              <w:left w:val="nil"/>
              <w:bottom w:val="single" w:sz="4" w:space="0" w:color="auto"/>
              <w:right w:val="single" w:sz="4" w:space="0" w:color="auto"/>
            </w:tcBorders>
            <w:shd w:val="clear" w:color="auto" w:fill="auto"/>
            <w:vAlign w:val="bottom"/>
            <w:hideMark/>
          </w:tcPr>
          <w:p w14:paraId="03786A40"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w:t>
            </w:r>
          </w:p>
        </w:tc>
        <w:tc>
          <w:tcPr>
            <w:tcW w:w="1276" w:type="dxa"/>
            <w:tcBorders>
              <w:top w:val="nil"/>
              <w:left w:val="nil"/>
              <w:bottom w:val="single" w:sz="4" w:space="0" w:color="auto"/>
              <w:right w:val="single" w:sz="4" w:space="0" w:color="auto"/>
            </w:tcBorders>
            <w:shd w:val="clear" w:color="auto" w:fill="auto"/>
            <w:vAlign w:val="bottom"/>
            <w:hideMark/>
          </w:tcPr>
          <w:p w14:paraId="3D90DE42"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xml:space="preserve">No </w:t>
            </w:r>
          </w:p>
        </w:tc>
        <w:tc>
          <w:tcPr>
            <w:tcW w:w="4819" w:type="dxa"/>
            <w:tcBorders>
              <w:top w:val="nil"/>
              <w:left w:val="nil"/>
              <w:bottom w:val="single" w:sz="4" w:space="0" w:color="auto"/>
              <w:right w:val="single" w:sz="8" w:space="0" w:color="auto"/>
            </w:tcBorders>
            <w:shd w:val="clear" w:color="auto" w:fill="auto"/>
            <w:vAlign w:val="bottom"/>
            <w:hideMark/>
          </w:tcPr>
          <w:p w14:paraId="79AB6EFA"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Cumple con las especificaciones de apertura de actividad por parte del RD.</w:t>
            </w:r>
          </w:p>
        </w:tc>
      </w:tr>
      <w:tr w:rsidR="00D12605" w:rsidRPr="00D12605" w14:paraId="5FF3460A" w14:textId="77777777" w:rsidTr="00D12605">
        <w:trPr>
          <w:trHeight w:val="300"/>
        </w:trPr>
        <w:tc>
          <w:tcPr>
            <w:tcW w:w="1266" w:type="dxa"/>
            <w:tcBorders>
              <w:top w:val="nil"/>
              <w:left w:val="single" w:sz="8" w:space="0" w:color="auto"/>
              <w:bottom w:val="single" w:sz="4" w:space="0" w:color="auto"/>
              <w:right w:val="single" w:sz="4" w:space="0" w:color="auto"/>
            </w:tcBorders>
            <w:shd w:val="clear" w:color="000000" w:fill="D9D9D9"/>
            <w:vAlign w:val="bottom"/>
            <w:hideMark/>
          </w:tcPr>
          <w:p w14:paraId="2301DAC2" w14:textId="71201D52" w:rsidR="00D12605" w:rsidRPr="00D12605" w:rsidRDefault="00D12605" w:rsidP="00D12605">
            <w:pPr>
              <w:spacing w:after="0"/>
              <w:jc w:val="left"/>
              <w:rPr>
                <w:rFonts w:ascii="Calibri" w:eastAsia="Times New Roman" w:hAnsi="Calibri" w:cs="Calibri"/>
                <w:b/>
                <w:bCs/>
                <w:sz w:val="16"/>
                <w:szCs w:val="16"/>
                <w:lang w:eastAsia="es-ES"/>
              </w:rPr>
            </w:pPr>
            <w:r w:rsidRPr="00D12605">
              <w:rPr>
                <w:rFonts w:ascii="Calibri" w:eastAsia="Times New Roman" w:hAnsi="Calibri" w:cs="Calibri"/>
                <w:b/>
                <w:bCs/>
                <w:sz w:val="16"/>
                <w:szCs w:val="16"/>
                <w:lang w:eastAsia="es-ES"/>
              </w:rPr>
              <w:t xml:space="preserve">Obras en </w:t>
            </w:r>
            <w:r w:rsidRPr="00D12605">
              <w:rPr>
                <w:rFonts w:ascii="Calibri" w:eastAsia="Times New Roman" w:hAnsi="Calibri" w:cs="Calibri"/>
                <w:b/>
                <w:bCs/>
                <w:sz w:val="16"/>
                <w:szCs w:val="16"/>
                <w:lang w:eastAsia="es-ES"/>
              </w:rPr>
              <w:t>edificios</w:t>
            </w:r>
            <w:r w:rsidRPr="00D12605">
              <w:rPr>
                <w:rFonts w:ascii="Calibri" w:eastAsia="Times New Roman" w:hAnsi="Calibri" w:cs="Calibri"/>
                <w:b/>
                <w:bCs/>
                <w:sz w:val="16"/>
                <w:szCs w:val="16"/>
                <w:lang w:eastAsia="es-ES"/>
              </w:rPr>
              <w:t xml:space="preserve"> no habitados / vacíos</w:t>
            </w:r>
          </w:p>
        </w:tc>
        <w:tc>
          <w:tcPr>
            <w:tcW w:w="1134" w:type="dxa"/>
            <w:tcBorders>
              <w:top w:val="nil"/>
              <w:left w:val="nil"/>
              <w:bottom w:val="single" w:sz="4" w:space="0" w:color="auto"/>
              <w:right w:val="single" w:sz="4" w:space="0" w:color="auto"/>
            </w:tcBorders>
            <w:shd w:val="clear" w:color="auto" w:fill="auto"/>
            <w:vAlign w:val="bottom"/>
            <w:hideMark/>
          </w:tcPr>
          <w:p w14:paraId="193204C5"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w:t>
            </w:r>
          </w:p>
        </w:tc>
        <w:tc>
          <w:tcPr>
            <w:tcW w:w="1276" w:type="dxa"/>
            <w:tcBorders>
              <w:top w:val="nil"/>
              <w:left w:val="nil"/>
              <w:bottom w:val="single" w:sz="4" w:space="0" w:color="auto"/>
              <w:right w:val="single" w:sz="4" w:space="0" w:color="auto"/>
            </w:tcBorders>
            <w:shd w:val="clear" w:color="auto" w:fill="auto"/>
            <w:vAlign w:val="bottom"/>
            <w:hideMark/>
          </w:tcPr>
          <w:p w14:paraId="2EEDA733"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xml:space="preserve">No </w:t>
            </w:r>
          </w:p>
        </w:tc>
        <w:tc>
          <w:tcPr>
            <w:tcW w:w="4819" w:type="dxa"/>
            <w:tcBorders>
              <w:top w:val="nil"/>
              <w:left w:val="nil"/>
              <w:bottom w:val="single" w:sz="4" w:space="0" w:color="auto"/>
              <w:right w:val="single" w:sz="8" w:space="0" w:color="auto"/>
            </w:tcBorders>
            <w:shd w:val="clear" w:color="auto" w:fill="auto"/>
            <w:vAlign w:val="bottom"/>
            <w:hideMark/>
          </w:tcPr>
          <w:p w14:paraId="6E341AC1"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Cumple con las especificaciones de apertura de actividad por parte del RD.</w:t>
            </w:r>
          </w:p>
        </w:tc>
      </w:tr>
      <w:tr w:rsidR="00D12605" w:rsidRPr="00D12605" w14:paraId="7C2FEBAC" w14:textId="77777777" w:rsidTr="00D12605">
        <w:trPr>
          <w:trHeight w:val="900"/>
        </w:trPr>
        <w:tc>
          <w:tcPr>
            <w:tcW w:w="1266" w:type="dxa"/>
            <w:tcBorders>
              <w:top w:val="nil"/>
              <w:left w:val="single" w:sz="8" w:space="0" w:color="auto"/>
              <w:bottom w:val="single" w:sz="4" w:space="0" w:color="auto"/>
              <w:right w:val="single" w:sz="4" w:space="0" w:color="auto"/>
            </w:tcBorders>
            <w:shd w:val="clear" w:color="000000" w:fill="D9D9D9"/>
            <w:vAlign w:val="bottom"/>
            <w:hideMark/>
          </w:tcPr>
          <w:p w14:paraId="12D2C514"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r w:rsidRPr="00D12605">
              <w:rPr>
                <w:rFonts w:ascii="Calibri" w:eastAsia="Times New Roman" w:hAnsi="Calibri" w:cs="Calibri"/>
                <w:b/>
                <w:bCs/>
                <w:color w:val="000000"/>
                <w:sz w:val="16"/>
                <w:szCs w:val="16"/>
                <w:lang w:eastAsia="es-ES"/>
              </w:rPr>
              <w:t>Andamios y montacargas</w:t>
            </w:r>
          </w:p>
        </w:tc>
        <w:tc>
          <w:tcPr>
            <w:tcW w:w="1134" w:type="dxa"/>
            <w:tcBorders>
              <w:top w:val="nil"/>
              <w:left w:val="nil"/>
              <w:bottom w:val="single" w:sz="4" w:space="0" w:color="auto"/>
              <w:right w:val="single" w:sz="4" w:space="0" w:color="auto"/>
            </w:tcBorders>
            <w:shd w:val="clear" w:color="auto" w:fill="auto"/>
            <w:vAlign w:val="bottom"/>
            <w:hideMark/>
          </w:tcPr>
          <w:p w14:paraId="3ADF42C5"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w:t>
            </w:r>
          </w:p>
        </w:tc>
        <w:tc>
          <w:tcPr>
            <w:tcW w:w="1276" w:type="dxa"/>
            <w:tcBorders>
              <w:top w:val="nil"/>
              <w:left w:val="nil"/>
              <w:bottom w:val="single" w:sz="4" w:space="0" w:color="auto"/>
              <w:right w:val="single" w:sz="4" w:space="0" w:color="auto"/>
            </w:tcBorders>
            <w:shd w:val="clear" w:color="auto" w:fill="auto"/>
            <w:vAlign w:val="bottom"/>
            <w:hideMark/>
          </w:tcPr>
          <w:p w14:paraId="22114361"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No</w:t>
            </w:r>
          </w:p>
        </w:tc>
        <w:tc>
          <w:tcPr>
            <w:tcW w:w="4819" w:type="dxa"/>
            <w:tcBorders>
              <w:top w:val="nil"/>
              <w:left w:val="nil"/>
              <w:bottom w:val="single" w:sz="4" w:space="0" w:color="auto"/>
              <w:right w:val="single" w:sz="8" w:space="0" w:color="auto"/>
            </w:tcBorders>
            <w:shd w:val="clear" w:color="auto" w:fill="auto"/>
            <w:vAlign w:val="bottom"/>
            <w:hideMark/>
          </w:tcPr>
          <w:p w14:paraId="0B52A27A"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Sin apertura de huecos por parte de residentes desde el interior en caso de obra en fachada.</w:t>
            </w:r>
            <w:r w:rsidRPr="00D12605">
              <w:rPr>
                <w:rFonts w:ascii="Calibri" w:eastAsia="Times New Roman" w:hAnsi="Calibri" w:cs="Calibri"/>
                <w:color w:val="000000"/>
                <w:sz w:val="16"/>
                <w:szCs w:val="16"/>
                <w:lang w:eastAsia="es-ES"/>
              </w:rPr>
              <w:br/>
              <w:t>Cumple con las especificaciones de apertura de actividad por parte del RD.</w:t>
            </w:r>
          </w:p>
        </w:tc>
      </w:tr>
      <w:tr w:rsidR="00D12605" w:rsidRPr="00D12605" w14:paraId="2E9163B1" w14:textId="77777777" w:rsidTr="00D12605">
        <w:trPr>
          <w:trHeight w:val="600"/>
        </w:trPr>
        <w:tc>
          <w:tcPr>
            <w:tcW w:w="1266" w:type="dxa"/>
            <w:tcBorders>
              <w:top w:val="nil"/>
              <w:left w:val="single" w:sz="8" w:space="0" w:color="auto"/>
              <w:bottom w:val="single" w:sz="4" w:space="0" w:color="auto"/>
              <w:right w:val="single" w:sz="4" w:space="0" w:color="auto"/>
            </w:tcBorders>
            <w:shd w:val="clear" w:color="000000" w:fill="D9D9D9"/>
            <w:vAlign w:val="bottom"/>
            <w:hideMark/>
          </w:tcPr>
          <w:p w14:paraId="55711F04"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r w:rsidRPr="00D12605">
              <w:rPr>
                <w:rFonts w:ascii="Calibri" w:eastAsia="Times New Roman" w:hAnsi="Calibri" w:cs="Calibri"/>
                <w:b/>
                <w:bCs/>
                <w:color w:val="000000"/>
                <w:sz w:val="16"/>
                <w:szCs w:val="16"/>
                <w:lang w:eastAsia="es-ES"/>
              </w:rPr>
              <w:t>Reparaciones, urgencias, mantenimiento para garantizar la seguridad de la obra o del edificio</w:t>
            </w:r>
          </w:p>
        </w:tc>
        <w:tc>
          <w:tcPr>
            <w:tcW w:w="1134" w:type="dxa"/>
            <w:tcBorders>
              <w:top w:val="nil"/>
              <w:left w:val="nil"/>
              <w:bottom w:val="single" w:sz="4" w:space="0" w:color="auto"/>
              <w:right w:val="single" w:sz="4" w:space="0" w:color="auto"/>
            </w:tcBorders>
            <w:shd w:val="clear" w:color="auto" w:fill="auto"/>
            <w:vAlign w:val="bottom"/>
            <w:hideMark/>
          </w:tcPr>
          <w:p w14:paraId="6FBFCE44"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w:t>
            </w:r>
          </w:p>
        </w:tc>
        <w:tc>
          <w:tcPr>
            <w:tcW w:w="1276" w:type="dxa"/>
            <w:tcBorders>
              <w:top w:val="nil"/>
              <w:left w:val="nil"/>
              <w:bottom w:val="single" w:sz="4" w:space="0" w:color="auto"/>
              <w:right w:val="single" w:sz="4" w:space="0" w:color="auto"/>
            </w:tcBorders>
            <w:shd w:val="clear" w:color="auto" w:fill="auto"/>
            <w:vAlign w:val="bottom"/>
            <w:hideMark/>
          </w:tcPr>
          <w:p w14:paraId="2C590389"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Si: Zonas Comunes y vivienda</w:t>
            </w:r>
          </w:p>
        </w:tc>
        <w:tc>
          <w:tcPr>
            <w:tcW w:w="4819" w:type="dxa"/>
            <w:tcBorders>
              <w:top w:val="nil"/>
              <w:left w:val="nil"/>
              <w:bottom w:val="single" w:sz="4" w:space="0" w:color="auto"/>
              <w:right w:val="single" w:sz="8" w:space="0" w:color="auto"/>
            </w:tcBorders>
            <w:shd w:val="clear" w:color="auto" w:fill="auto"/>
            <w:vAlign w:val="bottom"/>
            <w:hideMark/>
          </w:tcPr>
          <w:p w14:paraId="6DE969EC"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Se debería permitir en todos los casos por existencia de riesgo esencial, solicitando a la delegación de gobierno la autorización previa.</w:t>
            </w:r>
          </w:p>
        </w:tc>
      </w:tr>
      <w:tr w:rsidR="00D12605" w:rsidRPr="00D12605" w14:paraId="64091FF1" w14:textId="77777777" w:rsidTr="00D12605">
        <w:trPr>
          <w:trHeight w:val="612"/>
        </w:trPr>
        <w:tc>
          <w:tcPr>
            <w:tcW w:w="1266" w:type="dxa"/>
            <w:vMerge w:val="restart"/>
            <w:tcBorders>
              <w:top w:val="nil"/>
              <w:left w:val="single" w:sz="8" w:space="0" w:color="auto"/>
              <w:bottom w:val="single" w:sz="4" w:space="0" w:color="auto"/>
              <w:right w:val="single" w:sz="4" w:space="0" w:color="auto"/>
            </w:tcBorders>
            <w:shd w:val="clear" w:color="000000" w:fill="D9D9D9"/>
            <w:vAlign w:val="center"/>
            <w:hideMark/>
          </w:tcPr>
          <w:p w14:paraId="1AAA58F1"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r w:rsidRPr="00D12605">
              <w:rPr>
                <w:rFonts w:ascii="Calibri" w:eastAsia="Times New Roman" w:hAnsi="Calibri" w:cs="Calibri"/>
                <w:b/>
                <w:bCs/>
                <w:color w:val="000000"/>
                <w:sz w:val="16"/>
                <w:szCs w:val="16"/>
                <w:lang w:eastAsia="es-ES"/>
              </w:rPr>
              <w:t xml:space="preserve">Residencial colectivo / Edificios de </w:t>
            </w:r>
            <w:r w:rsidRPr="00D12605">
              <w:rPr>
                <w:rFonts w:ascii="Calibri" w:eastAsia="Times New Roman" w:hAnsi="Calibri" w:cs="Calibri"/>
                <w:b/>
                <w:bCs/>
                <w:color w:val="000000"/>
                <w:sz w:val="16"/>
                <w:szCs w:val="16"/>
                <w:lang w:eastAsia="es-ES"/>
              </w:rPr>
              <w:lastRenderedPageBreak/>
              <w:t>otros usos con zonas comunes</w:t>
            </w:r>
          </w:p>
        </w:tc>
        <w:tc>
          <w:tcPr>
            <w:tcW w:w="1134" w:type="dxa"/>
            <w:tcBorders>
              <w:top w:val="nil"/>
              <w:left w:val="nil"/>
              <w:bottom w:val="single" w:sz="4" w:space="0" w:color="auto"/>
              <w:right w:val="single" w:sz="4" w:space="0" w:color="auto"/>
            </w:tcBorders>
            <w:shd w:val="clear" w:color="auto" w:fill="auto"/>
            <w:vAlign w:val="bottom"/>
            <w:hideMark/>
          </w:tcPr>
          <w:p w14:paraId="1422CEA6"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lastRenderedPageBreak/>
              <w:t>Intervención en zonas comunes</w:t>
            </w:r>
          </w:p>
        </w:tc>
        <w:tc>
          <w:tcPr>
            <w:tcW w:w="1276" w:type="dxa"/>
            <w:tcBorders>
              <w:top w:val="nil"/>
              <w:left w:val="nil"/>
              <w:bottom w:val="single" w:sz="4" w:space="0" w:color="auto"/>
              <w:right w:val="single" w:sz="4" w:space="0" w:color="auto"/>
            </w:tcBorders>
            <w:shd w:val="clear" w:color="auto" w:fill="auto"/>
            <w:vAlign w:val="bottom"/>
            <w:hideMark/>
          </w:tcPr>
          <w:p w14:paraId="165E7985"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Si: Zonas Comunes</w:t>
            </w:r>
          </w:p>
        </w:tc>
        <w:tc>
          <w:tcPr>
            <w:tcW w:w="4819" w:type="dxa"/>
            <w:tcBorders>
              <w:top w:val="nil"/>
              <w:left w:val="nil"/>
              <w:bottom w:val="single" w:sz="4" w:space="0" w:color="auto"/>
              <w:right w:val="single" w:sz="8" w:space="0" w:color="auto"/>
            </w:tcBorders>
            <w:shd w:val="clear" w:color="auto" w:fill="auto"/>
            <w:vAlign w:val="bottom"/>
            <w:hideMark/>
          </w:tcPr>
          <w:p w14:paraId="4168942B"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Debe contar con varias salidas y tránsitos diferenciados por las zonas comunes.</w:t>
            </w:r>
          </w:p>
        </w:tc>
      </w:tr>
      <w:tr w:rsidR="00D12605" w:rsidRPr="00D12605" w14:paraId="512F6CBD" w14:textId="77777777" w:rsidTr="00D12605">
        <w:trPr>
          <w:trHeight w:val="600"/>
        </w:trPr>
        <w:tc>
          <w:tcPr>
            <w:tcW w:w="1266" w:type="dxa"/>
            <w:vMerge/>
            <w:tcBorders>
              <w:top w:val="nil"/>
              <w:left w:val="single" w:sz="8" w:space="0" w:color="auto"/>
              <w:bottom w:val="single" w:sz="4" w:space="0" w:color="auto"/>
              <w:right w:val="single" w:sz="4" w:space="0" w:color="auto"/>
            </w:tcBorders>
            <w:vAlign w:val="center"/>
            <w:hideMark/>
          </w:tcPr>
          <w:p w14:paraId="4D1B5716"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p>
        </w:tc>
        <w:tc>
          <w:tcPr>
            <w:tcW w:w="1134" w:type="dxa"/>
            <w:tcBorders>
              <w:top w:val="nil"/>
              <w:left w:val="nil"/>
              <w:bottom w:val="single" w:sz="4" w:space="0" w:color="auto"/>
              <w:right w:val="single" w:sz="4" w:space="0" w:color="auto"/>
            </w:tcBorders>
            <w:shd w:val="clear" w:color="auto" w:fill="auto"/>
            <w:vAlign w:val="bottom"/>
            <w:hideMark/>
          </w:tcPr>
          <w:p w14:paraId="2CE8CE78" w14:textId="13BCFE04"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Intervención en interior de vivienda/local habitada</w:t>
            </w:r>
          </w:p>
        </w:tc>
        <w:tc>
          <w:tcPr>
            <w:tcW w:w="1276" w:type="dxa"/>
            <w:tcBorders>
              <w:top w:val="nil"/>
              <w:left w:val="nil"/>
              <w:bottom w:val="single" w:sz="4" w:space="0" w:color="auto"/>
              <w:right w:val="single" w:sz="4" w:space="0" w:color="auto"/>
            </w:tcBorders>
            <w:shd w:val="clear" w:color="auto" w:fill="auto"/>
            <w:vAlign w:val="bottom"/>
            <w:hideMark/>
          </w:tcPr>
          <w:p w14:paraId="7A45A583"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Si: Zonas Comunes y vivienda</w:t>
            </w:r>
          </w:p>
        </w:tc>
        <w:tc>
          <w:tcPr>
            <w:tcW w:w="4819" w:type="dxa"/>
            <w:tcBorders>
              <w:top w:val="nil"/>
              <w:left w:val="nil"/>
              <w:bottom w:val="single" w:sz="4" w:space="0" w:color="auto"/>
              <w:right w:val="single" w:sz="8" w:space="0" w:color="auto"/>
            </w:tcBorders>
            <w:shd w:val="clear" w:color="auto" w:fill="auto"/>
            <w:vAlign w:val="bottom"/>
            <w:hideMark/>
          </w:tcPr>
          <w:p w14:paraId="5CEB7D36"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No es posible.</w:t>
            </w:r>
          </w:p>
        </w:tc>
      </w:tr>
      <w:tr w:rsidR="00D12605" w:rsidRPr="00D12605" w14:paraId="7E9E647D" w14:textId="77777777" w:rsidTr="00D12605">
        <w:trPr>
          <w:trHeight w:val="559"/>
        </w:trPr>
        <w:tc>
          <w:tcPr>
            <w:tcW w:w="1266" w:type="dxa"/>
            <w:vMerge/>
            <w:tcBorders>
              <w:top w:val="nil"/>
              <w:left w:val="single" w:sz="8" w:space="0" w:color="auto"/>
              <w:bottom w:val="single" w:sz="4" w:space="0" w:color="auto"/>
              <w:right w:val="single" w:sz="4" w:space="0" w:color="auto"/>
            </w:tcBorders>
            <w:vAlign w:val="center"/>
            <w:hideMark/>
          </w:tcPr>
          <w:p w14:paraId="236B6C9F"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p>
        </w:tc>
        <w:tc>
          <w:tcPr>
            <w:tcW w:w="1134" w:type="dxa"/>
            <w:tcBorders>
              <w:top w:val="nil"/>
              <w:left w:val="nil"/>
              <w:bottom w:val="single" w:sz="4" w:space="0" w:color="auto"/>
              <w:right w:val="single" w:sz="4" w:space="0" w:color="auto"/>
            </w:tcBorders>
            <w:shd w:val="clear" w:color="auto" w:fill="auto"/>
            <w:vAlign w:val="bottom"/>
            <w:hideMark/>
          </w:tcPr>
          <w:p w14:paraId="6B32E10E"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xml:space="preserve">Intervención en vivienda/local no habitada </w:t>
            </w:r>
          </w:p>
        </w:tc>
        <w:tc>
          <w:tcPr>
            <w:tcW w:w="1276" w:type="dxa"/>
            <w:tcBorders>
              <w:top w:val="nil"/>
              <w:left w:val="nil"/>
              <w:bottom w:val="single" w:sz="4" w:space="0" w:color="auto"/>
              <w:right w:val="single" w:sz="4" w:space="0" w:color="auto"/>
            </w:tcBorders>
            <w:shd w:val="clear" w:color="auto" w:fill="auto"/>
            <w:vAlign w:val="bottom"/>
            <w:hideMark/>
          </w:tcPr>
          <w:p w14:paraId="19F0D95D"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Si: Zonas Comunes</w:t>
            </w:r>
          </w:p>
        </w:tc>
        <w:tc>
          <w:tcPr>
            <w:tcW w:w="4819" w:type="dxa"/>
            <w:tcBorders>
              <w:top w:val="nil"/>
              <w:left w:val="nil"/>
              <w:bottom w:val="single" w:sz="4" w:space="0" w:color="auto"/>
              <w:right w:val="single" w:sz="8" w:space="0" w:color="auto"/>
            </w:tcBorders>
            <w:shd w:val="clear" w:color="auto" w:fill="auto"/>
            <w:vAlign w:val="bottom"/>
            <w:hideMark/>
          </w:tcPr>
          <w:p w14:paraId="47CF8141"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Debe contar con varias salidas y tránsitos diferenciados por las zonas comunes.</w:t>
            </w:r>
          </w:p>
        </w:tc>
      </w:tr>
      <w:tr w:rsidR="00D12605" w:rsidRPr="00D12605" w14:paraId="54A19986" w14:textId="77777777" w:rsidTr="00D12605">
        <w:trPr>
          <w:trHeight w:val="570"/>
        </w:trPr>
        <w:tc>
          <w:tcPr>
            <w:tcW w:w="1266" w:type="dxa"/>
            <w:vMerge/>
            <w:tcBorders>
              <w:top w:val="nil"/>
              <w:left w:val="single" w:sz="8" w:space="0" w:color="auto"/>
              <w:bottom w:val="single" w:sz="4" w:space="0" w:color="auto"/>
              <w:right w:val="single" w:sz="4" w:space="0" w:color="auto"/>
            </w:tcBorders>
            <w:vAlign w:val="center"/>
            <w:hideMark/>
          </w:tcPr>
          <w:p w14:paraId="1D82135C"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p>
        </w:tc>
        <w:tc>
          <w:tcPr>
            <w:tcW w:w="1134" w:type="dxa"/>
            <w:tcBorders>
              <w:top w:val="nil"/>
              <w:left w:val="nil"/>
              <w:bottom w:val="single" w:sz="4" w:space="0" w:color="auto"/>
              <w:right w:val="single" w:sz="4" w:space="0" w:color="auto"/>
            </w:tcBorders>
            <w:shd w:val="clear" w:color="auto" w:fill="auto"/>
            <w:vAlign w:val="bottom"/>
            <w:hideMark/>
          </w:tcPr>
          <w:p w14:paraId="222D8551"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Ampliación levante</w:t>
            </w:r>
          </w:p>
        </w:tc>
        <w:tc>
          <w:tcPr>
            <w:tcW w:w="1276" w:type="dxa"/>
            <w:tcBorders>
              <w:top w:val="nil"/>
              <w:left w:val="nil"/>
              <w:bottom w:val="single" w:sz="4" w:space="0" w:color="auto"/>
              <w:right w:val="single" w:sz="4" w:space="0" w:color="auto"/>
            </w:tcBorders>
            <w:shd w:val="clear" w:color="auto" w:fill="auto"/>
            <w:vAlign w:val="bottom"/>
            <w:hideMark/>
          </w:tcPr>
          <w:p w14:paraId="4760468C"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Si: Zonas Comunes</w:t>
            </w:r>
          </w:p>
        </w:tc>
        <w:tc>
          <w:tcPr>
            <w:tcW w:w="4819" w:type="dxa"/>
            <w:tcBorders>
              <w:top w:val="nil"/>
              <w:left w:val="nil"/>
              <w:bottom w:val="single" w:sz="4" w:space="0" w:color="auto"/>
              <w:right w:val="single" w:sz="8" w:space="0" w:color="auto"/>
            </w:tcBorders>
            <w:shd w:val="clear" w:color="auto" w:fill="auto"/>
            <w:vAlign w:val="bottom"/>
            <w:hideMark/>
          </w:tcPr>
          <w:p w14:paraId="537F45B2"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Debe contar con varias salidas y tránsitos diferenciados por las zonas comunes.</w:t>
            </w:r>
          </w:p>
        </w:tc>
      </w:tr>
      <w:tr w:rsidR="00D12605" w:rsidRPr="00D12605" w14:paraId="3FAF01E8" w14:textId="77777777" w:rsidTr="00D12605">
        <w:trPr>
          <w:trHeight w:val="900"/>
        </w:trPr>
        <w:tc>
          <w:tcPr>
            <w:tcW w:w="1266" w:type="dxa"/>
            <w:vMerge/>
            <w:tcBorders>
              <w:top w:val="nil"/>
              <w:left w:val="single" w:sz="8" w:space="0" w:color="auto"/>
              <w:bottom w:val="single" w:sz="4" w:space="0" w:color="auto"/>
              <w:right w:val="single" w:sz="4" w:space="0" w:color="auto"/>
            </w:tcBorders>
            <w:vAlign w:val="center"/>
            <w:hideMark/>
          </w:tcPr>
          <w:p w14:paraId="568B9E0B"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p>
        </w:tc>
        <w:tc>
          <w:tcPr>
            <w:tcW w:w="1134" w:type="dxa"/>
            <w:tcBorders>
              <w:top w:val="nil"/>
              <w:left w:val="nil"/>
              <w:bottom w:val="single" w:sz="4" w:space="0" w:color="auto"/>
              <w:right w:val="single" w:sz="4" w:space="0" w:color="auto"/>
            </w:tcBorders>
            <w:shd w:val="clear" w:color="auto" w:fill="auto"/>
            <w:vAlign w:val="bottom"/>
            <w:hideMark/>
          </w:tcPr>
          <w:p w14:paraId="453AE935"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Fachada y cubierta por exterior</w:t>
            </w:r>
          </w:p>
        </w:tc>
        <w:tc>
          <w:tcPr>
            <w:tcW w:w="1276" w:type="dxa"/>
            <w:tcBorders>
              <w:top w:val="nil"/>
              <w:left w:val="nil"/>
              <w:bottom w:val="single" w:sz="4" w:space="0" w:color="auto"/>
              <w:right w:val="single" w:sz="4" w:space="0" w:color="auto"/>
            </w:tcBorders>
            <w:shd w:val="clear" w:color="auto" w:fill="auto"/>
            <w:vAlign w:val="bottom"/>
            <w:hideMark/>
          </w:tcPr>
          <w:p w14:paraId="00116E99"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No</w:t>
            </w:r>
          </w:p>
        </w:tc>
        <w:tc>
          <w:tcPr>
            <w:tcW w:w="4819" w:type="dxa"/>
            <w:tcBorders>
              <w:top w:val="nil"/>
              <w:left w:val="nil"/>
              <w:bottom w:val="single" w:sz="4" w:space="0" w:color="auto"/>
              <w:right w:val="single" w:sz="8" w:space="0" w:color="auto"/>
            </w:tcBorders>
            <w:shd w:val="clear" w:color="auto" w:fill="auto"/>
            <w:vAlign w:val="bottom"/>
            <w:hideMark/>
          </w:tcPr>
          <w:p w14:paraId="37CC9CFA"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Sin apertura de huecos por parte de residentes desde el interior en caso de obra en fachada.</w:t>
            </w:r>
            <w:r w:rsidRPr="00D12605">
              <w:rPr>
                <w:rFonts w:ascii="Calibri" w:eastAsia="Times New Roman" w:hAnsi="Calibri" w:cs="Calibri"/>
                <w:color w:val="000000"/>
                <w:sz w:val="16"/>
                <w:szCs w:val="16"/>
                <w:lang w:eastAsia="es-ES"/>
              </w:rPr>
              <w:br/>
              <w:t>Cumple con las especificaciones de apertura de actividad por parte del RD.</w:t>
            </w:r>
          </w:p>
        </w:tc>
      </w:tr>
      <w:tr w:rsidR="00D12605" w:rsidRPr="00D12605" w14:paraId="7A156211" w14:textId="77777777" w:rsidTr="00D12605">
        <w:trPr>
          <w:trHeight w:val="900"/>
        </w:trPr>
        <w:tc>
          <w:tcPr>
            <w:tcW w:w="1266" w:type="dxa"/>
            <w:vMerge/>
            <w:tcBorders>
              <w:top w:val="nil"/>
              <w:left w:val="single" w:sz="8" w:space="0" w:color="auto"/>
              <w:bottom w:val="single" w:sz="4" w:space="0" w:color="auto"/>
              <w:right w:val="single" w:sz="4" w:space="0" w:color="auto"/>
            </w:tcBorders>
            <w:vAlign w:val="center"/>
            <w:hideMark/>
          </w:tcPr>
          <w:p w14:paraId="37E8F5A7"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p>
        </w:tc>
        <w:tc>
          <w:tcPr>
            <w:tcW w:w="1134" w:type="dxa"/>
            <w:tcBorders>
              <w:top w:val="nil"/>
              <w:left w:val="nil"/>
              <w:bottom w:val="single" w:sz="4" w:space="0" w:color="auto"/>
              <w:right w:val="single" w:sz="4" w:space="0" w:color="auto"/>
            </w:tcBorders>
            <w:shd w:val="clear" w:color="auto" w:fill="auto"/>
            <w:vAlign w:val="bottom"/>
            <w:hideMark/>
          </w:tcPr>
          <w:p w14:paraId="7F24CF5F"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Fachada y cubierta por interior</w:t>
            </w:r>
          </w:p>
        </w:tc>
        <w:tc>
          <w:tcPr>
            <w:tcW w:w="1276" w:type="dxa"/>
            <w:tcBorders>
              <w:top w:val="nil"/>
              <w:left w:val="nil"/>
              <w:bottom w:val="single" w:sz="4" w:space="0" w:color="auto"/>
              <w:right w:val="single" w:sz="4" w:space="0" w:color="auto"/>
            </w:tcBorders>
            <w:shd w:val="clear" w:color="auto" w:fill="auto"/>
            <w:vAlign w:val="bottom"/>
            <w:hideMark/>
          </w:tcPr>
          <w:p w14:paraId="42346932"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Si: Zonas Comunes y vivienda</w:t>
            </w:r>
          </w:p>
        </w:tc>
        <w:tc>
          <w:tcPr>
            <w:tcW w:w="4819" w:type="dxa"/>
            <w:tcBorders>
              <w:top w:val="nil"/>
              <w:left w:val="nil"/>
              <w:bottom w:val="single" w:sz="4" w:space="0" w:color="auto"/>
              <w:right w:val="single" w:sz="8" w:space="0" w:color="auto"/>
            </w:tcBorders>
            <w:shd w:val="clear" w:color="auto" w:fill="auto"/>
            <w:vAlign w:val="bottom"/>
            <w:hideMark/>
          </w:tcPr>
          <w:p w14:paraId="6FB47C67" w14:textId="0E90B555"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xml:space="preserve">No cumple, </w:t>
            </w:r>
            <w:r w:rsidRPr="00D12605">
              <w:rPr>
                <w:rFonts w:ascii="Calibri" w:eastAsia="Times New Roman" w:hAnsi="Calibri" w:cs="Calibri"/>
                <w:color w:val="000000"/>
                <w:sz w:val="16"/>
                <w:szCs w:val="16"/>
                <w:lang w:eastAsia="es-ES"/>
              </w:rPr>
              <w:t>aun</w:t>
            </w:r>
            <w:r w:rsidRPr="00D12605">
              <w:rPr>
                <w:rFonts w:ascii="Calibri" w:eastAsia="Times New Roman" w:hAnsi="Calibri" w:cs="Calibri"/>
                <w:color w:val="000000"/>
                <w:sz w:val="16"/>
                <w:szCs w:val="16"/>
                <w:lang w:eastAsia="es-ES"/>
              </w:rPr>
              <w:t xml:space="preserve"> cuando cuente con varias salidas y tránsitos diferenciados por las zonas comunes, ya que en el interior de </w:t>
            </w:r>
            <w:r w:rsidRPr="00D12605">
              <w:rPr>
                <w:rFonts w:ascii="Calibri" w:eastAsia="Times New Roman" w:hAnsi="Calibri" w:cs="Calibri"/>
                <w:color w:val="000000"/>
                <w:sz w:val="16"/>
                <w:szCs w:val="16"/>
                <w:lang w:eastAsia="es-ES"/>
              </w:rPr>
              <w:t>vivienda</w:t>
            </w:r>
            <w:r w:rsidRPr="00D12605">
              <w:rPr>
                <w:rFonts w:ascii="Calibri" w:eastAsia="Times New Roman" w:hAnsi="Calibri" w:cs="Calibri"/>
                <w:color w:val="000000"/>
                <w:sz w:val="16"/>
                <w:szCs w:val="16"/>
                <w:lang w:eastAsia="es-ES"/>
              </w:rPr>
              <w:t xml:space="preserve"> o local no se puede asegurar la no coincidencia con los habitantes.</w:t>
            </w:r>
          </w:p>
        </w:tc>
      </w:tr>
      <w:tr w:rsidR="00D12605" w:rsidRPr="00D12605" w14:paraId="2F76CACA" w14:textId="77777777" w:rsidTr="00D12605">
        <w:trPr>
          <w:trHeight w:val="600"/>
        </w:trPr>
        <w:tc>
          <w:tcPr>
            <w:tcW w:w="1266" w:type="dxa"/>
            <w:vMerge/>
            <w:tcBorders>
              <w:top w:val="nil"/>
              <w:left w:val="single" w:sz="8" w:space="0" w:color="auto"/>
              <w:bottom w:val="single" w:sz="4" w:space="0" w:color="auto"/>
              <w:right w:val="single" w:sz="4" w:space="0" w:color="auto"/>
            </w:tcBorders>
            <w:vAlign w:val="center"/>
            <w:hideMark/>
          </w:tcPr>
          <w:p w14:paraId="216020B0"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p>
        </w:tc>
        <w:tc>
          <w:tcPr>
            <w:tcW w:w="1134" w:type="dxa"/>
            <w:tcBorders>
              <w:top w:val="nil"/>
              <w:left w:val="nil"/>
              <w:bottom w:val="single" w:sz="4" w:space="0" w:color="auto"/>
              <w:right w:val="single" w:sz="4" w:space="0" w:color="auto"/>
            </w:tcBorders>
            <w:shd w:val="clear" w:color="auto" w:fill="auto"/>
            <w:vAlign w:val="bottom"/>
            <w:hideMark/>
          </w:tcPr>
          <w:p w14:paraId="7FD2B2CF"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Intervención en zonas comunes exteriores</w:t>
            </w:r>
          </w:p>
        </w:tc>
        <w:tc>
          <w:tcPr>
            <w:tcW w:w="1276" w:type="dxa"/>
            <w:tcBorders>
              <w:top w:val="nil"/>
              <w:left w:val="nil"/>
              <w:bottom w:val="single" w:sz="4" w:space="0" w:color="auto"/>
              <w:right w:val="single" w:sz="4" w:space="0" w:color="auto"/>
            </w:tcBorders>
            <w:shd w:val="clear" w:color="auto" w:fill="auto"/>
            <w:vAlign w:val="bottom"/>
            <w:hideMark/>
          </w:tcPr>
          <w:p w14:paraId="5122BC37"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Si: Zonas Comunes</w:t>
            </w:r>
          </w:p>
        </w:tc>
        <w:tc>
          <w:tcPr>
            <w:tcW w:w="4819" w:type="dxa"/>
            <w:tcBorders>
              <w:top w:val="nil"/>
              <w:left w:val="nil"/>
              <w:bottom w:val="single" w:sz="4" w:space="0" w:color="auto"/>
              <w:right w:val="single" w:sz="8" w:space="0" w:color="auto"/>
            </w:tcBorders>
            <w:shd w:val="clear" w:color="auto" w:fill="auto"/>
            <w:vAlign w:val="bottom"/>
            <w:hideMark/>
          </w:tcPr>
          <w:p w14:paraId="3C9B5E20" w14:textId="4F3C28F9"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xml:space="preserve">Cumple, al ser una zona </w:t>
            </w:r>
            <w:r w:rsidRPr="00D12605">
              <w:rPr>
                <w:rFonts w:ascii="Calibri" w:eastAsia="Times New Roman" w:hAnsi="Calibri" w:cs="Calibri"/>
                <w:color w:val="000000"/>
                <w:sz w:val="16"/>
                <w:szCs w:val="16"/>
                <w:lang w:eastAsia="es-ES"/>
              </w:rPr>
              <w:t>susceptible</w:t>
            </w:r>
            <w:r w:rsidRPr="00D12605">
              <w:rPr>
                <w:rFonts w:ascii="Calibri" w:eastAsia="Times New Roman" w:hAnsi="Calibri" w:cs="Calibri"/>
                <w:color w:val="000000"/>
                <w:sz w:val="16"/>
                <w:szCs w:val="16"/>
                <w:lang w:eastAsia="es-ES"/>
              </w:rPr>
              <w:t xml:space="preserve"> de sectorizar, toda vez que, el uso ordinario no está autorizado para los habitantes.</w:t>
            </w:r>
          </w:p>
        </w:tc>
      </w:tr>
      <w:tr w:rsidR="00D12605" w:rsidRPr="00D12605" w14:paraId="020B5C05" w14:textId="77777777" w:rsidTr="00D12605">
        <w:trPr>
          <w:trHeight w:val="300"/>
        </w:trPr>
        <w:tc>
          <w:tcPr>
            <w:tcW w:w="1266" w:type="dxa"/>
            <w:vMerge w:val="restart"/>
            <w:tcBorders>
              <w:top w:val="nil"/>
              <w:left w:val="single" w:sz="8" w:space="0" w:color="auto"/>
              <w:bottom w:val="single" w:sz="4" w:space="0" w:color="auto"/>
              <w:right w:val="single" w:sz="4" w:space="0" w:color="auto"/>
            </w:tcBorders>
            <w:shd w:val="clear" w:color="000000" w:fill="D9D9D9"/>
            <w:vAlign w:val="center"/>
            <w:hideMark/>
          </w:tcPr>
          <w:p w14:paraId="7B4E8710" w14:textId="456D78B8" w:rsidR="00D12605" w:rsidRPr="00D12605" w:rsidRDefault="00D12605" w:rsidP="00D12605">
            <w:pPr>
              <w:spacing w:after="0"/>
              <w:jc w:val="left"/>
              <w:rPr>
                <w:rFonts w:ascii="Calibri" w:eastAsia="Times New Roman" w:hAnsi="Calibri" w:cs="Calibri"/>
                <w:b/>
                <w:bCs/>
                <w:color w:val="000000"/>
                <w:sz w:val="16"/>
                <w:szCs w:val="16"/>
                <w:lang w:eastAsia="es-ES"/>
              </w:rPr>
            </w:pPr>
            <w:r w:rsidRPr="00D12605">
              <w:rPr>
                <w:rFonts w:ascii="Calibri" w:eastAsia="Times New Roman" w:hAnsi="Calibri" w:cs="Calibri"/>
                <w:b/>
                <w:bCs/>
                <w:color w:val="000000"/>
                <w:sz w:val="16"/>
                <w:szCs w:val="16"/>
                <w:lang w:eastAsia="es-ES"/>
              </w:rPr>
              <w:t>Residencial unifamiliar / Edificio de único usuario exento (acceso independiente desde vía pública)</w:t>
            </w:r>
          </w:p>
        </w:tc>
        <w:tc>
          <w:tcPr>
            <w:tcW w:w="1134" w:type="dxa"/>
            <w:tcBorders>
              <w:top w:val="nil"/>
              <w:left w:val="nil"/>
              <w:bottom w:val="single" w:sz="4" w:space="0" w:color="auto"/>
              <w:right w:val="single" w:sz="4" w:space="0" w:color="auto"/>
            </w:tcBorders>
            <w:shd w:val="clear" w:color="auto" w:fill="auto"/>
            <w:vAlign w:val="bottom"/>
            <w:hideMark/>
          </w:tcPr>
          <w:p w14:paraId="0EA06F4B"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Intervención en interior habitado</w:t>
            </w:r>
          </w:p>
        </w:tc>
        <w:tc>
          <w:tcPr>
            <w:tcW w:w="1276" w:type="dxa"/>
            <w:tcBorders>
              <w:top w:val="nil"/>
              <w:left w:val="nil"/>
              <w:bottom w:val="single" w:sz="4" w:space="0" w:color="auto"/>
              <w:right w:val="single" w:sz="4" w:space="0" w:color="auto"/>
            </w:tcBorders>
            <w:shd w:val="clear" w:color="auto" w:fill="auto"/>
            <w:vAlign w:val="bottom"/>
            <w:hideMark/>
          </w:tcPr>
          <w:p w14:paraId="3BDA5B1A"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Sí</w:t>
            </w:r>
          </w:p>
        </w:tc>
        <w:tc>
          <w:tcPr>
            <w:tcW w:w="4819" w:type="dxa"/>
            <w:tcBorders>
              <w:top w:val="nil"/>
              <w:left w:val="nil"/>
              <w:bottom w:val="single" w:sz="4" w:space="0" w:color="auto"/>
              <w:right w:val="single" w:sz="8" w:space="0" w:color="auto"/>
            </w:tcBorders>
            <w:shd w:val="clear" w:color="auto" w:fill="auto"/>
            <w:vAlign w:val="bottom"/>
            <w:hideMark/>
          </w:tcPr>
          <w:p w14:paraId="42E5B988"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xml:space="preserve">No cumple. </w:t>
            </w:r>
          </w:p>
        </w:tc>
      </w:tr>
      <w:tr w:rsidR="00D12605" w:rsidRPr="00D12605" w14:paraId="47011DCF" w14:textId="77777777" w:rsidTr="00D12605">
        <w:trPr>
          <w:trHeight w:val="300"/>
        </w:trPr>
        <w:tc>
          <w:tcPr>
            <w:tcW w:w="1266" w:type="dxa"/>
            <w:vMerge/>
            <w:tcBorders>
              <w:top w:val="nil"/>
              <w:left w:val="single" w:sz="8" w:space="0" w:color="auto"/>
              <w:bottom w:val="single" w:sz="4" w:space="0" w:color="auto"/>
              <w:right w:val="single" w:sz="4" w:space="0" w:color="auto"/>
            </w:tcBorders>
            <w:vAlign w:val="center"/>
            <w:hideMark/>
          </w:tcPr>
          <w:p w14:paraId="08D5D57B"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p>
        </w:tc>
        <w:tc>
          <w:tcPr>
            <w:tcW w:w="1134" w:type="dxa"/>
            <w:tcBorders>
              <w:top w:val="nil"/>
              <w:left w:val="nil"/>
              <w:bottom w:val="single" w:sz="4" w:space="0" w:color="auto"/>
              <w:right w:val="single" w:sz="4" w:space="0" w:color="auto"/>
            </w:tcBorders>
            <w:shd w:val="clear" w:color="auto" w:fill="auto"/>
            <w:vAlign w:val="bottom"/>
            <w:hideMark/>
          </w:tcPr>
          <w:p w14:paraId="0E6B82DE"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xml:space="preserve">Ampliación </w:t>
            </w:r>
          </w:p>
        </w:tc>
        <w:tc>
          <w:tcPr>
            <w:tcW w:w="1276" w:type="dxa"/>
            <w:tcBorders>
              <w:top w:val="nil"/>
              <w:left w:val="nil"/>
              <w:bottom w:val="single" w:sz="4" w:space="0" w:color="auto"/>
              <w:right w:val="single" w:sz="4" w:space="0" w:color="auto"/>
            </w:tcBorders>
            <w:shd w:val="clear" w:color="auto" w:fill="auto"/>
            <w:vAlign w:val="bottom"/>
            <w:hideMark/>
          </w:tcPr>
          <w:p w14:paraId="4D882514"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Sí</w:t>
            </w:r>
          </w:p>
        </w:tc>
        <w:tc>
          <w:tcPr>
            <w:tcW w:w="4819" w:type="dxa"/>
            <w:tcBorders>
              <w:top w:val="nil"/>
              <w:left w:val="nil"/>
              <w:bottom w:val="single" w:sz="4" w:space="0" w:color="auto"/>
              <w:right w:val="single" w:sz="8" w:space="0" w:color="auto"/>
            </w:tcBorders>
            <w:shd w:val="clear" w:color="auto" w:fill="auto"/>
            <w:vAlign w:val="bottom"/>
            <w:hideMark/>
          </w:tcPr>
          <w:p w14:paraId="7B0341D2" w14:textId="77777777" w:rsidR="00D12605" w:rsidRPr="00D12605" w:rsidRDefault="00D12605" w:rsidP="00D12605">
            <w:pPr>
              <w:spacing w:after="0"/>
              <w:jc w:val="left"/>
              <w:rPr>
                <w:rFonts w:ascii="Calibri" w:eastAsia="Times New Roman" w:hAnsi="Calibri" w:cs="Calibri"/>
                <w:sz w:val="16"/>
                <w:szCs w:val="16"/>
                <w:lang w:eastAsia="es-ES"/>
              </w:rPr>
            </w:pPr>
            <w:r w:rsidRPr="00D12605">
              <w:rPr>
                <w:rFonts w:ascii="Calibri" w:eastAsia="Times New Roman" w:hAnsi="Calibri" w:cs="Calibri"/>
                <w:sz w:val="16"/>
                <w:szCs w:val="16"/>
                <w:lang w:eastAsia="es-ES"/>
              </w:rPr>
              <w:t>Debe contar con varias salidas y tránsitos diferenciados que permitan su sectorización</w:t>
            </w:r>
          </w:p>
        </w:tc>
      </w:tr>
      <w:tr w:rsidR="00D12605" w:rsidRPr="00D12605" w14:paraId="70621401" w14:textId="77777777" w:rsidTr="00D12605">
        <w:trPr>
          <w:trHeight w:val="582"/>
        </w:trPr>
        <w:tc>
          <w:tcPr>
            <w:tcW w:w="1266" w:type="dxa"/>
            <w:vMerge/>
            <w:tcBorders>
              <w:top w:val="nil"/>
              <w:left w:val="single" w:sz="8" w:space="0" w:color="auto"/>
              <w:bottom w:val="single" w:sz="4" w:space="0" w:color="auto"/>
              <w:right w:val="single" w:sz="4" w:space="0" w:color="auto"/>
            </w:tcBorders>
            <w:vAlign w:val="center"/>
            <w:hideMark/>
          </w:tcPr>
          <w:p w14:paraId="10E1663E"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p>
        </w:tc>
        <w:tc>
          <w:tcPr>
            <w:tcW w:w="1134" w:type="dxa"/>
            <w:tcBorders>
              <w:top w:val="nil"/>
              <w:left w:val="nil"/>
              <w:bottom w:val="single" w:sz="4" w:space="0" w:color="auto"/>
              <w:right w:val="single" w:sz="4" w:space="0" w:color="auto"/>
            </w:tcBorders>
            <w:shd w:val="clear" w:color="auto" w:fill="auto"/>
            <w:vAlign w:val="bottom"/>
            <w:hideMark/>
          </w:tcPr>
          <w:p w14:paraId="321C1C69"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Fachada y cubierta por exterior</w:t>
            </w:r>
          </w:p>
        </w:tc>
        <w:tc>
          <w:tcPr>
            <w:tcW w:w="1276" w:type="dxa"/>
            <w:tcBorders>
              <w:top w:val="nil"/>
              <w:left w:val="nil"/>
              <w:bottom w:val="single" w:sz="4" w:space="0" w:color="auto"/>
              <w:right w:val="single" w:sz="4" w:space="0" w:color="auto"/>
            </w:tcBorders>
            <w:shd w:val="clear" w:color="auto" w:fill="auto"/>
            <w:vAlign w:val="bottom"/>
            <w:hideMark/>
          </w:tcPr>
          <w:p w14:paraId="7B7AB159"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No</w:t>
            </w:r>
          </w:p>
        </w:tc>
        <w:tc>
          <w:tcPr>
            <w:tcW w:w="4819" w:type="dxa"/>
            <w:tcBorders>
              <w:top w:val="nil"/>
              <w:left w:val="nil"/>
              <w:bottom w:val="single" w:sz="4" w:space="0" w:color="auto"/>
              <w:right w:val="single" w:sz="8" w:space="0" w:color="auto"/>
            </w:tcBorders>
            <w:shd w:val="clear" w:color="auto" w:fill="auto"/>
            <w:vAlign w:val="bottom"/>
            <w:hideMark/>
          </w:tcPr>
          <w:p w14:paraId="2CF28EEE"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Sin apertura de huecos por parte de residentes desde el interior en caso de obra en fachada.</w:t>
            </w:r>
            <w:r w:rsidRPr="00D12605">
              <w:rPr>
                <w:rFonts w:ascii="Calibri" w:eastAsia="Times New Roman" w:hAnsi="Calibri" w:cs="Calibri"/>
                <w:color w:val="000000"/>
                <w:sz w:val="16"/>
                <w:szCs w:val="16"/>
                <w:lang w:eastAsia="es-ES"/>
              </w:rPr>
              <w:br/>
              <w:t>Cumple con las especificaciones de apertura de actividad por parte del RD.</w:t>
            </w:r>
          </w:p>
        </w:tc>
      </w:tr>
      <w:tr w:rsidR="00D12605" w:rsidRPr="00D12605" w14:paraId="1428D052" w14:textId="77777777" w:rsidTr="00D12605">
        <w:trPr>
          <w:trHeight w:val="900"/>
        </w:trPr>
        <w:tc>
          <w:tcPr>
            <w:tcW w:w="1266" w:type="dxa"/>
            <w:vMerge/>
            <w:tcBorders>
              <w:top w:val="nil"/>
              <w:left w:val="single" w:sz="8" w:space="0" w:color="auto"/>
              <w:bottom w:val="single" w:sz="4" w:space="0" w:color="auto"/>
              <w:right w:val="single" w:sz="4" w:space="0" w:color="auto"/>
            </w:tcBorders>
            <w:vAlign w:val="center"/>
            <w:hideMark/>
          </w:tcPr>
          <w:p w14:paraId="7DA65881"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p>
        </w:tc>
        <w:tc>
          <w:tcPr>
            <w:tcW w:w="1134" w:type="dxa"/>
            <w:tcBorders>
              <w:top w:val="nil"/>
              <w:left w:val="nil"/>
              <w:bottom w:val="single" w:sz="4" w:space="0" w:color="auto"/>
              <w:right w:val="single" w:sz="4" w:space="0" w:color="auto"/>
            </w:tcBorders>
            <w:shd w:val="clear" w:color="auto" w:fill="auto"/>
            <w:vAlign w:val="bottom"/>
            <w:hideMark/>
          </w:tcPr>
          <w:p w14:paraId="719E4DAA"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Fachada y cubierta por interior</w:t>
            </w:r>
          </w:p>
        </w:tc>
        <w:tc>
          <w:tcPr>
            <w:tcW w:w="1276" w:type="dxa"/>
            <w:tcBorders>
              <w:top w:val="nil"/>
              <w:left w:val="nil"/>
              <w:bottom w:val="single" w:sz="4" w:space="0" w:color="auto"/>
              <w:right w:val="single" w:sz="4" w:space="0" w:color="auto"/>
            </w:tcBorders>
            <w:shd w:val="clear" w:color="auto" w:fill="auto"/>
            <w:vAlign w:val="bottom"/>
            <w:hideMark/>
          </w:tcPr>
          <w:p w14:paraId="611655E3"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Sí</w:t>
            </w:r>
          </w:p>
        </w:tc>
        <w:tc>
          <w:tcPr>
            <w:tcW w:w="4819" w:type="dxa"/>
            <w:tcBorders>
              <w:top w:val="nil"/>
              <w:left w:val="nil"/>
              <w:bottom w:val="single" w:sz="4" w:space="0" w:color="auto"/>
              <w:right w:val="single" w:sz="8" w:space="0" w:color="auto"/>
            </w:tcBorders>
            <w:shd w:val="clear" w:color="auto" w:fill="auto"/>
            <w:vAlign w:val="bottom"/>
            <w:hideMark/>
          </w:tcPr>
          <w:p w14:paraId="30E9CB4B" w14:textId="3411497B"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xml:space="preserve">No cumple, </w:t>
            </w:r>
            <w:proofErr w:type="spellStart"/>
            <w:r w:rsidRPr="00D12605">
              <w:rPr>
                <w:rFonts w:ascii="Calibri" w:eastAsia="Times New Roman" w:hAnsi="Calibri" w:cs="Calibri"/>
                <w:color w:val="000000"/>
                <w:sz w:val="16"/>
                <w:szCs w:val="16"/>
                <w:lang w:eastAsia="es-ES"/>
              </w:rPr>
              <w:t>aún</w:t>
            </w:r>
            <w:proofErr w:type="spellEnd"/>
            <w:r w:rsidRPr="00D12605">
              <w:rPr>
                <w:rFonts w:ascii="Calibri" w:eastAsia="Times New Roman" w:hAnsi="Calibri" w:cs="Calibri"/>
                <w:color w:val="000000"/>
                <w:sz w:val="16"/>
                <w:szCs w:val="16"/>
                <w:lang w:eastAsia="es-ES"/>
              </w:rPr>
              <w:t xml:space="preserve"> cuando cuente con varias salidas y tránsitos diferenciados por las zonas comunes, ya que en el interior de </w:t>
            </w:r>
            <w:r w:rsidRPr="00D12605">
              <w:rPr>
                <w:rFonts w:ascii="Calibri" w:eastAsia="Times New Roman" w:hAnsi="Calibri" w:cs="Calibri"/>
                <w:color w:val="000000"/>
                <w:sz w:val="16"/>
                <w:szCs w:val="16"/>
                <w:lang w:eastAsia="es-ES"/>
              </w:rPr>
              <w:t>vivienda</w:t>
            </w:r>
            <w:r w:rsidRPr="00D12605">
              <w:rPr>
                <w:rFonts w:ascii="Calibri" w:eastAsia="Times New Roman" w:hAnsi="Calibri" w:cs="Calibri"/>
                <w:color w:val="000000"/>
                <w:sz w:val="16"/>
                <w:szCs w:val="16"/>
                <w:lang w:eastAsia="es-ES"/>
              </w:rPr>
              <w:t xml:space="preserve"> o local no se puede asegurar la no coincidencia con los habitantes.</w:t>
            </w:r>
          </w:p>
        </w:tc>
      </w:tr>
      <w:tr w:rsidR="00D12605" w:rsidRPr="00D12605" w14:paraId="56942F93" w14:textId="77777777" w:rsidTr="00D12605">
        <w:trPr>
          <w:trHeight w:val="300"/>
        </w:trPr>
        <w:tc>
          <w:tcPr>
            <w:tcW w:w="1266" w:type="dxa"/>
            <w:vMerge/>
            <w:tcBorders>
              <w:top w:val="nil"/>
              <w:left w:val="single" w:sz="8" w:space="0" w:color="auto"/>
              <w:bottom w:val="single" w:sz="4" w:space="0" w:color="auto"/>
              <w:right w:val="single" w:sz="4" w:space="0" w:color="auto"/>
            </w:tcBorders>
            <w:vAlign w:val="center"/>
            <w:hideMark/>
          </w:tcPr>
          <w:p w14:paraId="7CCC859E"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p>
        </w:tc>
        <w:tc>
          <w:tcPr>
            <w:tcW w:w="1134" w:type="dxa"/>
            <w:tcBorders>
              <w:top w:val="nil"/>
              <w:left w:val="nil"/>
              <w:bottom w:val="single" w:sz="4" w:space="0" w:color="auto"/>
              <w:right w:val="single" w:sz="4" w:space="0" w:color="auto"/>
            </w:tcBorders>
            <w:shd w:val="clear" w:color="auto" w:fill="auto"/>
            <w:vAlign w:val="bottom"/>
            <w:hideMark/>
          </w:tcPr>
          <w:p w14:paraId="4D2F0891"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Intervención en edificio no habitado</w:t>
            </w:r>
          </w:p>
        </w:tc>
        <w:tc>
          <w:tcPr>
            <w:tcW w:w="1276" w:type="dxa"/>
            <w:tcBorders>
              <w:top w:val="nil"/>
              <w:left w:val="nil"/>
              <w:bottom w:val="single" w:sz="4" w:space="0" w:color="auto"/>
              <w:right w:val="single" w:sz="4" w:space="0" w:color="auto"/>
            </w:tcBorders>
            <w:shd w:val="clear" w:color="auto" w:fill="auto"/>
            <w:vAlign w:val="bottom"/>
            <w:hideMark/>
          </w:tcPr>
          <w:p w14:paraId="20687A6B"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No</w:t>
            </w:r>
          </w:p>
        </w:tc>
        <w:tc>
          <w:tcPr>
            <w:tcW w:w="4819" w:type="dxa"/>
            <w:tcBorders>
              <w:top w:val="nil"/>
              <w:left w:val="nil"/>
              <w:bottom w:val="single" w:sz="4" w:space="0" w:color="auto"/>
              <w:right w:val="single" w:sz="8" w:space="0" w:color="auto"/>
            </w:tcBorders>
            <w:shd w:val="clear" w:color="auto" w:fill="auto"/>
            <w:vAlign w:val="bottom"/>
            <w:hideMark/>
          </w:tcPr>
          <w:p w14:paraId="632D293F"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Cumple con las especificaciones de apertura de actividad por parte del RD.</w:t>
            </w:r>
          </w:p>
        </w:tc>
      </w:tr>
      <w:tr w:rsidR="00D12605" w:rsidRPr="00D12605" w14:paraId="71383662" w14:textId="77777777" w:rsidTr="00D12605">
        <w:trPr>
          <w:trHeight w:val="600"/>
        </w:trPr>
        <w:tc>
          <w:tcPr>
            <w:tcW w:w="1266" w:type="dxa"/>
            <w:vMerge/>
            <w:tcBorders>
              <w:top w:val="nil"/>
              <w:left w:val="single" w:sz="8" w:space="0" w:color="auto"/>
              <w:bottom w:val="single" w:sz="4" w:space="0" w:color="auto"/>
              <w:right w:val="single" w:sz="4" w:space="0" w:color="auto"/>
            </w:tcBorders>
            <w:vAlign w:val="center"/>
            <w:hideMark/>
          </w:tcPr>
          <w:p w14:paraId="0DF20481"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p>
        </w:tc>
        <w:tc>
          <w:tcPr>
            <w:tcW w:w="1134" w:type="dxa"/>
            <w:tcBorders>
              <w:top w:val="nil"/>
              <w:left w:val="nil"/>
              <w:bottom w:val="single" w:sz="4" w:space="0" w:color="auto"/>
              <w:right w:val="single" w:sz="4" w:space="0" w:color="auto"/>
            </w:tcBorders>
            <w:shd w:val="clear" w:color="auto" w:fill="auto"/>
            <w:vAlign w:val="bottom"/>
            <w:hideMark/>
          </w:tcPr>
          <w:p w14:paraId="18A38422"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 xml:space="preserve">Jardinería, urbanización interior </w:t>
            </w:r>
          </w:p>
        </w:tc>
        <w:tc>
          <w:tcPr>
            <w:tcW w:w="1276" w:type="dxa"/>
            <w:tcBorders>
              <w:top w:val="nil"/>
              <w:left w:val="nil"/>
              <w:bottom w:val="single" w:sz="4" w:space="0" w:color="auto"/>
              <w:right w:val="single" w:sz="4" w:space="0" w:color="auto"/>
            </w:tcBorders>
            <w:shd w:val="clear" w:color="auto" w:fill="auto"/>
            <w:vAlign w:val="bottom"/>
            <w:hideMark/>
          </w:tcPr>
          <w:p w14:paraId="5410D9D4"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No</w:t>
            </w:r>
          </w:p>
        </w:tc>
        <w:tc>
          <w:tcPr>
            <w:tcW w:w="4819" w:type="dxa"/>
            <w:tcBorders>
              <w:top w:val="nil"/>
              <w:left w:val="nil"/>
              <w:bottom w:val="single" w:sz="4" w:space="0" w:color="auto"/>
              <w:right w:val="single" w:sz="8" w:space="0" w:color="auto"/>
            </w:tcBorders>
            <w:shd w:val="clear" w:color="auto" w:fill="auto"/>
            <w:vAlign w:val="bottom"/>
            <w:hideMark/>
          </w:tcPr>
          <w:p w14:paraId="25816CD0" w14:textId="77777777" w:rsidR="00D12605" w:rsidRPr="00D12605" w:rsidRDefault="00D12605" w:rsidP="00D12605">
            <w:pPr>
              <w:spacing w:after="0"/>
              <w:jc w:val="left"/>
              <w:rPr>
                <w:rFonts w:ascii="Calibri" w:eastAsia="Times New Roman" w:hAnsi="Calibri" w:cs="Calibri"/>
                <w:sz w:val="16"/>
                <w:szCs w:val="16"/>
                <w:lang w:eastAsia="es-ES"/>
              </w:rPr>
            </w:pPr>
            <w:r w:rsidRPr="00D12605">
              <w:rPr>
                <w:rFonts w:ascii="Calibri" w:eastAsia="Times New Roman" w:hAnsi="Calibri" w:cs="Calibri"/>
                <w:sz w:val="16"/>
                <w:szCs w:val="16"/>
                <w:lang w:eastAsia="es-ES"/>
              </w:rPr>
              <w:t>Garantizar acceso independiente de trabajadores y residentes.</w:t>
            </w:r>
            <w:r w:rsidRPr="00D12605">
              <w:rPr>
                <w:rFonts w:ascii="Calibri" w:eastAsia="Times New Roman" w:hAnsi="Calibri" w:cs="Calibri"/>
                <w:sz w:val="16"/>
                <w:szCs w:val="16"/>
                <w:lang w:eastAsia="es-ES"/>
              </w:rPr>
              <w:br/>
              <w:t>Cumple con las especificaciones de apertura de actividad por parte del RD.</w:t>
            </w:r>
          </w:p>
        </w:tc>
      </w:tr>
      <w:tr w:rsidR="00D12605" w:rsidRPr="00D12605" w14:paraId="0A0E0A52" w14:textId="77777777" w:rsidTr="00D12605">
        <w:trPr>
          <w:trHeight w:val="300"/>
        </w:trPr>
        <w:tc>
          <w:tcPr>
            <w:tcW w:w="1266" w:type="dxa"/>
            <w:vMerge w:val="restart"/>
            <w:tcBorders>
              <w:top w:val="nil"/>
              <w:left w:val="single" w:sz="8" w:space="0" w:color="auto"/>
              <w:bottom w:val="single" w:sz="8" w:space="0" w:color="000000"/>
              <w:right w:val="single" w:sz="4" w:space="0" w:color="auto"/>
            </w:tcBorders>
            <w:shd w:val="clear" w:color="000000" w:fill="D9D9D9"/>
            <w:vAlign w:val="center"/>
            <w:hideMark/>
          </w:tcPr>
          <w:p w14:paraId="148B511B"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r w:rsidRPr="00D12605">
              <w:rPr>
                <w:rFonts w:ascii="Calibri" w:eastAsia="Times New Roman" w:hAnsi="Calibri" w:cs="Calibri"/>
                <w:b/>
                <w:bCs/>
                <w:color w:val="000000"/>
                <w:sz w:val="16"/>
                <w:szCs w:val="16"/>
                <w:lang w:eastAsia="es-ES"/>
              </w:rPr>
              <w:t>Locales con acceso directo desde vía pública</w:t>
            </w:r>
          </w:p>
        </w:tc>
        <w:tc>
          <w:tcPr>
            <w:tcW w:w="1134" w:type="dxa"/>
            <w:tcBorders>
              <w:top w:val="nil"/>
              <w:left w:val="nil"/>
              <w:bottom w:val="single" w:sz="4" w:space="0" w:color="auto"/>
              <w:right w:val="single" w:sz="4" w:space="0" w:color="auto"/>
            </w:tcBorders>
            <w:shd w:val="clear" w:color="auto" w:fill="auto"/>
            <w:vAlign w:val="bottom"/>
            <w:hideMark/>
          </w:tcPr>
          <w:p w14:paraId="3FB323E5" w14:textId="5E4D1193"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Intervención en interior de local en uso</w:t>
            </w:r>
          </w:p>
        </w:tc>
        <w:tc>
          <w:tcPr>
            <w:tcW w:w="1276" w:type="dxa"/>
            <w:tcBorders>
              <w:top w:val="nil"/>
              <w:left w:val="nil"/>
              <w:bottom w:val="single" w:sz="4" w:space="0" w:color="auto"/>
              <w:right w:val="single" w:sz="4" w:space="0" w:color="auto"/>
            </w:tcBorders>
            <w:shd w:val="clear" w:color="auto" w:fill="auto"/>
            <w:vAlign w:val="bottom"/>
            <w:hideMark/>
          </w:tcPr>
          <w:p w14:paraId="5674CCAD"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Sí</w:t>
            </w:r>
          </w:p>
        </w:tc>
        <w:tc>
          <w:tcPr>
            <w:tcW w:w="4819" w:type="dxa"/>
            <w:tcBorders>
              <w:top w:val="nil"/>
              <w:left w:val="nil"/>
              <w:bottom w:val="single" w:sz="4" w:space="0" w:color="auto"/>
              <w:right w:val="single" w:sz="8" w:space="0" w:color="auto"/>
            </w:tcBorders>
            <w:shd w:val="clear" w:color="auto" w:fill="auto"/>
            <w:vAlign w:val="bottom"/>
            <w:hideMark/>
          </w:tcPr>
          <w:p w14:paraId="59DCE36F"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Debe contar con varias salidas y tránsitos diferenciados por las zonas comunes.</w:t>
            </w:r>
          </w:p>
        </w:tc>
      </w:tr>
      <w:tr w:rsidR="00D12605" w:rsidRPr="00D12605" w14:paraId="3ED3ACFA" w14:textId="77777777" w:rsidTr="00D12605">
        <w:trPr>
          <w:trHeight w:val="315"/>
        </w:trPr>
        <w:tc>
          <w:tcPr>
            <w:tcW w:w="1266" w:type="dxa"/>
            <w:vMerge/>
            <w:tcBorders>
              <w:top w:val="nil"/>
              <w:left w:val="single" w:sz="8" w:space="0" w:color="auto"/>
              <w:bottom w:val="single" w:sz="8" w:space="0" w:color="000000"/>
              <w:right w:val="single" w:sz="4" w:space="0" w:color="auto"/>
            </w:tcBorders>
            <w:vAlign w:val="center"/>
            <w:hideMark/>
          </w:tcPr>
          <w:p w14:paraId="57AE9BF8" w14:textId="77777777" w:rsidR="00D12605" w:rsidRPr="00D12605" w:rsidRDefault="00D12605" w:rsidP="00D12605">
            <w:pPr>
              <w:spacing w:after="0"/>
              <w:jc w:val="left"/>
              <w:rPr>
                <w:rFonts w:ascii="Calibri" w:eastAsia="Times New Roman" w:hAnsi="Calibri" w:cs="Calibri"/>
                <w:b/>
                <w:bCs/>
                <w:color w:val="000000"/>
                <w:sz w:val="16"/>
                <w:szCs w:val="16"/>
                <w:lang w:eastAsia="es-ES"/>
              </w:rPr>
            </w:pPr>
          </w:p>
        </w:tc>
        <w:tc>
          <w:tcPr>
            <w:tcW w:w="1134" w:type="dxa"/>
            <w:tcBorders>
              <w:top w:val="nil"/>
              <w:left w:val="nil"/>
              <w:bottom w:val="single" w:sz="8" w:space="0" w:color="auto"/>
              <w:right w:val="single" w:sz="4" w:space="0" w:color="auto"/>
            </w:tcBorders>
            <w:shd w:val="clear" w:color="auto" w:fill="auto"/>
            <w:vAlign w:val="bottom"/>
            <w:hideMark/>
          </w:tcPr>
          <w:p w14:paraId="60A24B10" w14:textId="4DA81D00"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Intervención en interior de local sin uso</w:t>
            </w:r>
          </w:p>
        </w:tc>
        <w:tc>
          <w:tcPr>
            <w:tcW w:w="1276" w:type="dxa"/>
            <w:tcBorders>
              <w:top w:val="nil"/>
              <w:left w:val="nil"/>
              <w:bottom w:val="single" w:sz="8" w:space="0" w:color="auto"/>
              <w:right w:val="single" w:sz="4" w:space="0" w:color="auto"/>
            </w:tcBorders>
            <w:shd w:val="clear" w:color="auto" w:fill="auto"/>
            <w:vAlign w:val="bottom"/>
            <w:hideMark/>
          </w:tcPr>
          <w:p w14:paraId="4D269A13"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No</w:t>
            </w:r>
          </w:p>
        </w:tc>
        <w:tc>
          <w:tcPr>
            <w:tcW w:w="4819" w:type="dxa"/>
            <w:tcBorders>
              <w:top w:val="nil"/>
              <w:left w:val="nil"/>
              <w:bottom w:val="single" w:sz="8" w:space="0" w:color="auto"/>
              <w:right w:val="single" w:sz="8" w:space="0" w:color="auto"/>
            </w:tcBorders>
            <w:shd w:val="clear" w:color="auto" w:fill="auto"/>
            <w:vAlign w:val="bottom"/>
            <w:hideMark/>
          </w:tcPr>
          <w:p w14:paraId="5CF1AF01" w14:textId="77777777" w:rsidR="00D12605" w:rsidRPr="00D12605" w:rsidRDefault="00D12605" w:rsidP="00D12605">
            <w:pPr>
              <w:spacing w:after="0"/>
              <w:jc w:val="left"/>
              <w:rPr>
                <w:rFonts w:ascii="Calibri" w:eastAsia="Times New Roman" w:hAnsi="Calibri" w:cs="Calibri"/>
                <w:color w:val="000000"/>
                <w:sz w:val="16"/>
                <w:szCs w:val="16"/>
                <w:lang w:eastAsia="es-ES"/>
              </w:rPr>
            </w:pPr>
            <w:r w:rsidRPr="00D12605">
              <w:rPr>
                <w:rFonts w:ascii="Calibri" w:eastAsia="Times New Roman" w:hAnsi="Calibri" w:cs="Calibri"/>
                <w:color w:val="000000"/>
                <w:sz w:val="16"/>
                <w:szCs w:val="16"/>
                <w:lang w:eastAsia="es-ES"/>
              </w:rPr>
              <w:t>Cumple con las especificaciones de apertura de actividad por parte del RD.</w:t>
            </w:r>
          </w:p>
        </w:tc>
      </w:tr>
    </w:tbl>
    <w:p w14:paraId="4245A9CB" w14:textId="77777777" w:rsidR="00D12605" w:rsidRPr="00D12605" w:rsidRDefault="00D12605" w:rsidP="00DA0884">
      <w:pPr>
        <w:rPr>
          <w:b/>
          <w:bCs/>
        </w:rPr>
      </w:pPr>
    </w:p>
    <w:p w14:paraId="0CC6A43F" w14:textId="77777777" w:rsidR="00D12605" w:rsidRDefault="00D12605" w:rsidP="00DA0884"/>
    <w:p w14:paraId="4962B89C" w14:textId="77777777" w:rsidR="00D12605" w:rsidRDefault="00D12605" w:rsidP="00DA0884"/>
    <w:p w14:paraId="1D6D4FED" w14:textId="3B97CB65" w:rsidR="00191802" w:rsidRDefault="00191802" w:rsidP="00DA0884">
      <w:r>
        <w:t>21 de abril de 2020</w:t>
      </w:r>
    </w:p>
    <w:p w14:paraId="059FEACD" w14:textId="77777777" w:rsidR="00191802" w:rsidRDefault="00191802" w:rsidP="00DA0884"/>
    <w:sectPr w:rsidR="00191802" w:rsidSect="005B3D95">
      <w:headerReference w:type="default" r:id="rId7"/>
      <w:footerReference w:type="default" r:id="rId8"/>
      <w:pgSz w:w="11906" w:h="16838"/>
      <w:pgMar w:top="1985"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32FA71" w14:textId="77777777" w:rsidR="00E322EC" w:rsidRDefault="00E322EC" w:rsidP="00B97361">
      <w:pPr>
        <w:spacing w:after="0"/>
      </w:pPr>
      <w:r>
        <w:separator/>
      </w:r>
    </w:p>
  </w:endnote>
  <w:endnote w:type="continuationSeparator" w:id="0">
    <w:p w14:paraId="368AE004" w14:textId="77777777" w:rsidR="00E322EC" w:rsidRDefault="00E322EC" w:rsidP="00B973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6931741"/>
      <w:docPartObj>
        <w:docPartGallery w:val="Page Numbers (Bottom of Page)"/>
        <w:docPartUnique/>
      </w:docPartObj>
    </w:sdtPr>
    <w:sdtEndPr/>
    <w:sdtContent>
      <w:p w14:paraId="3D35D479" w14:textId="77777777" w:rsidR="002F55F9" w:rsidRDefault="002F55F9">
        <w:pPr>
          <w:pStyle w:val="Piedepgina"/>
          <w:jc w:val="center"/>
        </w:pPr>
        <w:r>
          <w:fldChar w:fldCharType="begin"/>
        </w:r>
        <w:r>
          <w:instrText>PAGE   \* MERGEFORMAT</w:instrText>
        </w:r>
        <w:r>
          <w:fldChar w:fldCharType="separate"/>
        </w:r>
        <w:r>
          <w:t>2</w:t>
        </w:r>
        <w:r>
          <w:fldChar w:fldCharType="end"/>
        </w:r>
      </w:p>
    </w:sdtContent>
  </w:sdt>
  <w:p w14:paraId="5524F634" w14:textId="77777777" w:rsidR="002F55F9" w:rsidRDefault="002F55F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6DE4E" w14:textId="77777777" w:rsidR="00E322EC" w:rsidRDefault="00E322EC" w:rsidP="00B97361">
      <w:pPr>
        <w:spacing w:after="0"/>
      </w:pPr>
      <w:r>
        <w:separator/>
      </w:r>
    </w:p>
  </w:footnote>
  <w:footnote w:type="continuationSeparator" w:id="0">
    <w:p w14:paraId="1F31FFDA" w14:textId="77777777" w:rsidR="00E322EC" w:rsidRDefault="00E322EC" w:rsidP="00B9736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5CEC9" w14:textId="77777777" w:rsidR="00B97361" w:rsidRDefault="00B97361">
    <w:pPr>
      <w:pStyle w:val="Encabezado"/>
    </w:pPr>
    <w:r>
      <w:rPr>
        <w:noProof/>
      </w:rPr>
      <w:drawing>
        <wp:anchor distT="0" distB="0" distL="114300" distR="114300" simplePos="0" relativeHeight="251658240" behindDoc="1" locked="0" layoutInCell="1" allowOverlap="1" wp14:anchorId="26B980A2" wp14:editId="35888904">
          <wp:simplePos x="0" y="0"/>
          <wp:positionH relativeFrom="column">
            <wp:posOffset>-356235</wp:posOffset>
          </wp:positionH>
          <wp:positionV relativeFrom="paragraph">
            <wp:posOffset>-192405</wp:posOffset>
          </wp:positionV>
          <wp:extent cx="1785596" cy="493840"/>
          <wp:effectExtent l="0" t="0" r="5715" b="1905"/>
          <wp:wrapTight wrapText="bothSides">
            <wp:wrapPolygon edited="0">
              <wp:start x="922" y="0"/>
              <wp:lineTo x="0" y="2502"/>
              <wp:lineTo x="0" y="10842"/>
              <wp:lineTo x="692" y="13344"/>
              <wp:lineTo x="3688" y="20849"/>
              <wp:lineTo x="3919" y="20849"/>
              <wp:lineTo x="21439" y="20849"/>
              <wp:lineTo x="21439" y="16680"/>
              <wp:lineTo x="15215" y="13344"/>
              <wp:lineTo x="16828" y="9174"/>
              <wp:lineTo x="16137" y="1668"/>
              <wp:lineTo x="2536" y="0"/>
              <wp:lineTo x="922"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scae.png"/>
                  <pic:cNvPicPr/>
                </pic:nvPicPr>
                <pic:blipFill>
                  <a:blip r:embed="rId1">
                    <a:extLst>
                      <a:ext uri="{28A0092B-C50C-407E-A947-70E740481C1C}">
                        <a14:useLocalDpi xmlns:a14="http://schemas.microsoft.com/office/drawing/2010/main" val="0"/>
                      </a:ext>
                    </a:extLst>
                  </a:blip>
                  <a:stretch>
                    <a:fillRect/>
                  </a:stretch>
                </pic:blipFill>
                <pic:spPr>
                  <a:xfrm>
                    <a:off x="0" y="0"/>
                    <a:ext cx="1785596" cy="4938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2564C"/>
    <w:multiLevelType w:val="hybridMultilevel"/>
    <w:tmpl w:val="2F425D42"/>
    <w:lvl w:ilvl="0" w:tplc="2F8ED65C">
      <w:start w:val="1"/>
      <w:numFmt w:val="bullet"/>
      <w:lvlText w:val="-"/>
      <w:lvlJc w:val="left"/>
      <w:pPr>
        <w:ind w:left="1080" w:hanging="360"/>
      </w:pPr>
      <w:rPr>
        <w:rFonts w:ascii="Calibri" w:eastAsiaTheme="minorHAnsi" w:hAnsi="Calibri"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EB4D63"/>
    <w:multiLevelType w:val="hybridMultilevel"/>
    <w:tmpl w:val="FF1809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21"/>
    <w:rsid w:val="001539EF"/>
    <w:rsid w:val="001728C1"/>
    <w:rsid w:val="00191802"/>
    <w:rsid w:val="001D7E36"/>
    <w:rsid w:val="00296798"/>
    <w:rsid w:val="002F55F9"/>
    <w:rsid w:val="003A7859"/>
    <w:rsid w:val="003E665C"/>
    <w:rsid w:val="0043758B"/>
    <w:rsid w:val="00520E0C"/>
    <w:rsid w:val="00560E11"/>
    <w:rsid w:val="005B3D95"/>
    <w:rsid w:val="00636FC6"/>
    <w:rsid w:val="00691C1C"/>
    <w:rsid w:val="008D3F7D"/>
    <w:rsid w:val="0097339C"/>
    <w:rsid w:val="00AB574A"/>
    <w:rsid w:val="00B97361"/>
    <w:rsid w:val="00CC00EF"/>
    <w:rsid w:val="00D12605"/>
    <w:rsid w:val="00DA0884"/>
    <w:rsid w:val="00DF3EBE"/>
    <w:rsid w:val="00E322EC"/>
    <w:rsid w:val="00ED02A5"/>
    <w:rsid w:val="00F45221"/>
    <w:rsid w:val="00F85C6E"/>
    <w:rsid w:val="00F921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1AF65"/>
  <w15:chartTrackingRefBased/>
  <w15:docId w15:val="{C1E87832-1C7F-4836-90CD-234F916DE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97361"/>
    <w:pPr>
      <w:tabs>
        <w:tab w:val="center" w:pos="4252"/>
        <w:tab w:val="right" w:pos="8504"/>
      </w:tabs>
      <w:spacing w:after="0"/>
    </w:pPr>
  </w:style>
  <w:style w:type="character" w:customStyle="1" w:styleId="EncabezadoCar">
    <w:name w:val="Encabezado Car"/>
    <w:basedOn w:val="Fuentedeprrafopredeter"/>
    <w:link w:val="Encabezado"/>
    <w:uiPriority w:val="99"/>
    <w:rsid w:val="00B97361"/>
  </w:style>
  <w:style w:type="paragraph" w:styleId="Piedepgina">
    <w:name w:val="footer"/>
    <w:basedOn w:val="Normal"/>
    <w:link w:val="PiedepginaCar"/>
    <w:uiPriority w:val="99"/>
    <w:unhideWhenUsed/>
    <w:rsid w:val="00B97361"/>
    <w:pPr>
      <w:tabs>
        <w:tab w:val="center" w:pos="4252"/>
        <w:tab w:val="right" w:pos="8504"/>
      </w:tabs>
      <w:spacing w:after="0"/>
    </w:pPr>
  </w:style>
  <w:style w:type="character" w:customStyle="1" w:styleId="PiedepginaCar">
    <w:name w:val="Pie de página Car"/>
    <w:basedOn w:val="Fuentedeprrafopredeter"/>
    <w:link w:val="Piedepgina"/>
    <w:uiPriority w:val="99"/>
    <w:rsid w:val="00B97361"/>
  </w:style>
  <w:style w:type="paragraph" w:styleId="Prrafodelista">
    <w:name w:val="List Paragraph"/>
    <w:basedOn w:val="Normal"/>
    <w:uiPriority w:val="34"/>
    <w:qFormat/>
    <w:rsid w:val="002967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3674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1289</Words>
  <Characters>7095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Salinero</dc:creator>
  <cp:keywords/>
  <dc:description/>
  <cp:lastModifiedBy>Estudio Urbitectura</cp:lastModifiedBy>
  <cp:revision>2</cp:revision>
  <dcterms:created xsi:type="dcterms:W3CDTF">2020-04-21T17:14:00Z</dcterms:created>
  <dcterms:modified xsi:type="dcterms:W3CDTF">2020-04-21T17:14:00Z</dcterms:modified>
</cp:coreProperties>
</file>